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0" w:line="480"/>
        <w:jc w:val="center"/>
      </w:pPr>
      <w:r>
        <w:rPr>
          <w:rFonts w:ascii="Times New Roman" w:cs="Times New Roman" w:eastAsia="Times New Roman" w:hAnsi="Times New Roman"/>
          <w:b/>
          <w:bCs/>
          <w:sz w:val="36"/>
          <w:szCs w:val="36"/>
        </w:rPr>
        <w:t xml:space="preserve">MEMORANDUM OF LAW</w:t>
      </w:r>
    </w:p>
    <w:p>
      <w:pPr>
        <w:spacing w:after="240" w:before="0" w:line="480"/>
      </w:pPr>
      <w:r>
        <w:rPr>
          <w:rFonts w:ascii="Times New Roman" w:cs="Times New Roman" w:eastAsia="Times New Roman" w:hAnsi="Times New Roman"/>
          <w:sz w:val="24"/>
          <w:szCs w:val="24"/>
        </w:rPr>
        <w:t xml:space="preserve"/>
      </w:r>
    </w:p>
    <w:p>
      <w:pPr>
        <w:spacing w:after="240" w:before="0" w:line="480"/>
        <w:jc w:val="center"/>
      </w:pPr>
      <w:r>
        <w:rPr>
          <w:rFonts w:ascii="Times New Roman" w:cs="Times New Roman" w:eastAsia="Times New Roman" w:hAnsi="Times New Roman"/>
          <w:b/>
          <w:bCs/>
          <w:sz w:val="28"/>
          <w:szCs w:val="28"/>
        </w:rPr>
        <w:t xml:space="preserve">ON THE LEGAL CHARACTER OF THE TRANSACTION MARKETED AS A</w:t>
      </w:r>
    </w:p>
    <w:p>
      <w:pPr>
        <w:spacing w:after="240" w:before="0" w:line="480"/>
        <w:jc w:val="center"/>
      </w:pPr>
      <w:r>
        <w:rPr>
          <w:rFonts w:ascii="Times New Roman" w:cs="Times New Roman" w:eastAsia="Times New Roman" w:hAnsi="Times New Roman"/>
          <w:b/>
          <w:bCs/>
          <w:sz w:val="28"/>
          <w:szCs w:val="28"/>
        </w:rPr>
        <w:t xml:space="preserve">“HOME LOAN” AND THE EXTINGUISHMENT OF THE OBLIGATION</w:t>
      </w:r>
    </w:p>
    <w:p>
      <w:pPr>
        <w:spacing w:after="240" w:before="0" w:line="480"/>
        <w:jc w:val="center"/>
      </w:pPr>
      <w:r>
        <w:rPr>
          <w:rFonts w:ascii="Times New Roman" w:cs="Times New Roman" w:eastAsia="Times New Roman" w:hAnsi="Times New Roman"/>
          <w:b/>
          <w:bCs/>
          <w:sz w:val="28"/>
          <w:szCs w:val="28"/>
        </w:rPr>
        <w:t xml:space="preserve">BY INCLEARINGS CREDIT RECEIVED IN THE BORROWER’S NAME</w:t>
      </w:r>
    </w:p>
    <w:p>
      <w:pPr>
        <w:spacing w:after="240" w:before="0" w:line="480"/>
      </w:pPr>
      <w:r>
        <w:rPr>
          <w:rFonts w:ascii="Times New Roman" w:cs="Times New Roman" w:eastAsia="Times New Roman" w:hAnsi="Times New Roman"/>
          <w:sz w:val="24"/>
          <w:szCs w:val="24"/>
        </w:rPr>
        <w:t xml:space="preserve"/>
      </w:r>
    </w:p>
    <w:p>
      <w:pPr>
        <w:spacing w:after="240" w:before="0" w:line="480"/>
      </w:pPr>
      <w:r>
        <w:rPr>
          <w:rFonts w:ascii="Times New Roman" w:cs="Times New Roman" w:eastAsia="Times New Roman" w:hAnsi="Times New Roman"/>
          <w:sz w:val="24"/>
          <w:szCs w:val="24"/>
        </w:rPr>
        <w:t xml:space="preserve"/>
      </w:r>
    </w:p>
    <w:p>
      <w:pPr>
        <w:spacing w:after="240" w:before="0" w:line="480"/>
        <w:jc w:val="center"/>
      </w:pPr>
      <w:r>
        <w:rPr>
          <w:rFonts w:ascii="Times New Roman" w:cs="Times New Roman" w:eastAsia="Times New Roman" w:hAnsi="Times New Roman"/>
          <w:b/>
          <w:bCs/>
          <w:sz w:val="28"/>
          <w:szCs w:val="28"/>
        </w:rPr>
        <w:t xml:space="preserve">Including the Documentary Record in the Matter of</w:t>
      </w:r>
    </w:p>
    <w:p>
      <w:pPr>
        <w:spacing w:after="240" w:before="0" w:line="480"/>
        <w:jc w:val="center"/>
      </w:pPr>
      <w:r>
        <w:rPr>
          <w:rFonts w:ascii="Times New Roman" w:cs="Times New Roman" w:eastAsia="Times New Roman" w:hAnsi="Times New Roman"/>
          <w:b/>
          <w:bCs/>
          <w:sz w:val="28"/>
          <w:szCs w:val="28"/>
        </w:rPr>
        <w:t xml:space="preserve">Nelson L. Bruce v. Pentagon Federal Credit Union, et al.</w:t>
      </w:r>
    </w:p>
    <w:p>
      <w:pPr>
        <w:spacing w:after="240" w:before="0" w:line="480"/>
        <w:jc w:val="center"/>
      </w:pPr>
      <w:r>
        <w:rPr>
          <w:rFonts w:ascii="Times New Roman" w:cs="Times New Roman" w:eastAsia="Times New Roman" w:hAnsi="Times New Roman"/>
          <w:b/>
          <w:bCs/>
          <w:sz w:val="28"/>
          <w:szCs w:val="28"/>
        </w:rPr>
        <w:t xml:space="preserve">United States District Court for the District of South Carolina</w:t>
      </w:r>
    </w:p>
    <w:p>
      <w:pPr>
        <w:spacing w:after="240" w:before="0" w:line="480"/>
        <w:jc w:val="center"/>
      </w:pPr>
      <w:r>
        <w:rPr>
          <w:rFonts w:ascii="Times New Roman" w:cs="Times New Roman" w:eastAsia="Times New Roman" w:hAnsi="Times New Roman"/>
          <w:b/>
          <w:bCs/>
          <w:sz w:val="28"/>
          <w:szCs w:val="28"/>
        </w:rPr>
        <w:t xml:space="preserve">Case No. 2:22-cv-02211-BHH-MGB</w:t>
      </w:r>
    </w:p>
    <w:p>
      <w:pPr>
        <w:spacing w:after="240" w:before="0" w:line="480"/>
      </w:pPr>
      <w:r>
        <w:rPr>
          <w:rFonts w:ascii="Times New Roman" w:cs="Times New Roman" w:eastAsia="Times New Roman" w:hAnsi="Times New Roman"/>
          <w:sz w:val="24"/>
          <w:szCs w:val="24"/>
        </w:rPr>
        <w:t xml:space="preserve"/>
      </w:r>
    </w:p>
    <w:p>
      <w:pPr>
        <w:spacing w:after="240" w:before="0" w:line="480"/>
      </w:pPr>
      <w:r>
        <w:rPr>
          <w:rFonts w:ascii="Times New Roman" w:cs="Times New Roman" w:eastAsia="Times New Roman" w:hAnsi="Times New Roman"/>
          <w:sz w:val="24"/>
          <w:szCs w:val="24"/>
        </w:rPr>
        <w:t xml:space="preserve"/>
      </w:r>
    </w:p>
    <w:p>
      <w:pPr>
        <w:spacing w:after="240" w:before="0" w:line="480"/>
      </w:pPr>
      <w:r>
        <w:rPr>
          <w:rFonts w:ascii="Times New Roman" w:cs="Times New Roman" w:eastAsia="Times New Roman" w:hAnsi="Times New Roman"/>
          <w:sz w:val="24"/>
          <w:szCs w:val="24"/>
        </w:rPr>
        <w:t xml:space="preserve"/>
      </w:r>
    </w:p>
    <w:p>
      <w:pPr>
        <w:spacing w:after="240" w:before="0" w:line="480"/>
        <w:jc w:val="center"/>
      </w:pPr>
      <w:r>
        <w:rPr>
          <w:rFonts w:ascii="Times New Roman" w:cs="Times New Roman" w:eastAsia="Times New Roman" w:hAnsi="Times New Roman"/>
          <w:sz w:val="24"/>
          <w:szCs w:val="24"/>
        </w:rPr>
        <w:t xml:space="preserve">Issued by:</w:t>
      </w:r>
    </w:p>
    <w:p>
      <w:pPr>
        <w:spacing w:after="240" w:before="0" w:line="480"/>
        <w:jc w:val="center"/>
      </w:pPr>
      <w:r>
        <w:rPr>
          <w:rFonts w:ascii="Times New Roman" w:cs="Times New Roman" w:eastAsia="Times New Roman" w:hAnsi="Times New Roman"/>
          <w:sz w:val="24"/>
          <w:szCs w:val="24"/>
        </w:rPr>
        <w:t xml:space="preserve">EEON FOUNDATION</w:t>
      </w:r>
    </w:p>
    <w:p>
      <w:pPr>
        <w:spacing w:after="240" w:before="0" w:line="480"/>
        <w:jc w:val="center"/>
      </w:pPr>
      <w:r>
        <w:rPr>
          <w:rFonts w:ascii="Times New Roman" w:cs="Times New Roman" w:eastAsia="Times New Roman" w:hAnsi="Times New Roman"/>
          <w:sz w:val="24"/>
          <w:szCs w:val="24"/>
        </w:rPr>
        <w:t xml:space="preserve">304 S. Jones Blvd., #Void-Eeon</w:t>
      </w:r>
    </w:p>
    <w:p>
      <w:pPr>
        <w:spacing w:after="240" w:before="0" w:line="480"/>
        <w:jc w:val="center"/>
      </w:pPr>
      <w:r>
        <w:rPr>
          <w:rFonts w:ascii="Times New Roman" w:cs="Times New Roman" w:eastAsia="Times New Roman" w:hAnsi="Times New Roman"/>
          <w:sz w:val="24"/>
          <w:szCs w:val="24"/>
        </w:rPr>
        <w:t xml:space="preserve">Las Vegas, Nevada 89107</w:t>
      </w:r>
    </w:p>
    <w:p>
      <w:pPr>
        <w:spacing w:after="240" w:before="0" w:line="480"/>
      </w:pPr>
      <w:r>
        <w:rPr>
          <w:rFonts w:ascii="Times New Roman" w:cs="Times New Roman" w:eastAsia="Times New Roman" w:hAnsi="Times New Roman"/>
          <w:sz w:val="24"/>
          <w:szCs w:val="24"/>
        </w:rPr>
        <w:t xml:space="preserve"/>
      </w:r>
    </w:p>
    <w:p>
      <w:pPr>
        <w:spacing w:after="240" w:before="0" w:line="480"/>
        <w:jc w:val="center"/>
      </w:pPr>
      <w:r>
        <w:rPr>
          <w:rFonts w:ascii="Times New Roman" w:cs="Times New Roman" w:eastAsia="Times New Roman" w:hAnsi="Times New Roman"/>
          <w:sz w:val="24"/>
          <w:szCs w:val="24"/>
        </w:rPr>
        <w:t xml:space="preserve">Authored by Eeon, Director</w:t>
      </w:r>
    </w:p>
    <w:p>
      <w:pPr>
        <w:spacing w:after="240" w:before="0" w:line="480"/>
        <w:jc w:val="center"/>
      </w:pPr>
      <w:r>
        <w:rPr>
          <w:rFonts w:ascii="Times New Roman" w:cs="Times New Roman" w:eastAsia="Times New Roman" w:hAnsi="Times New Roman"/>
          <w:sz w:val="24"/>
          <w:szCs w:val="24"/>
        </w:rPr>
        <w:t xml:space="preserve">All Natural Secured Rights Explicitly Reserved and Retained, with prejudice</w:t>
      </w:r>
    </w:p>
    <w:p>
      <w:r>
        <w:br w:type="page"/>
      </w:r>
    </w:p>
    <w:p>
      <w:pPr>
        <w:spacing w:after="240" w:before="360" w:line="480"/>
        <w:jc w:val="left"/>
      </w:pPr>
      <w:r>
        <w:rPr>
          <w:rFonts w:ascii="Times New Roman" w:cs="Times New Roman" w:eastAsia="Times New Roman" w:hAnsi="Times New Roman"/>
          <w:b/>
          <w:bCs/>
          <w:sz w:val="28"/>
          <w:szCs w:val="28"/>
        </w:rPr>
        <w:t xml:space="preserve">I. PURPOSE AND SCOPE</w:t>
      </w:r>
    </w:p>
    <w:p>
      <w:pPr>
        <w:spacing w:after="240" w:before="0" w:line="480"/>
        <w:jc w:val="both"/>
      </w:pPr>
      <w:r>
        <w:rPr>
          <w:rFonts w:ascii="Times New Roman" w:cs="Times New Roman" w:eastAsia="Times New Roman" w:hAnsi="Times New Roman"/>
          <w:sz w:val="24"/>
          <w:szCs w:val="24"/>
        </w:rPr>
        <w:t xml:space="preserve">This Memorandum of Law establishes the legal character of the financial transaction marketed by federally chartered and state-chartered financial institutions as a “home loan,” “mortgage loan,” or “residential loan,” and demonstrates that the obligation arising out of such a transaction is extinguished by the inclearings credit received by the institution in the borrower’s name through the Federal Reserve clearing system. The Memorandum further establishes that the institution’s continued demand for payment after receipt of such credit, and the institution’s continued exercise of accessory authorities including any power of attorney executed at closing, is unauthorized and actionable.</w:t>
      </w:r>
    </w:p>
    <w:p>
      <w:pPr>
        <w:spacing w:after="240" w:before="0" w:line="480"/>
        <w:jc w:val="both"/>
      </w:pPr>
      <w:r>
        <w:rPr>
          <w:rFonts w:ascii="Times New Roman" w:cs="Times New Roman" w:eastAsia="Times New Roman" w:hAnsi="Times New Roman"/>
          <w:sz w:val="24"/>
          <w:szCs w:val="24"/>
        </w:rPr>
        <w:t xml:space="preserve">This Memorandum is grounded exclusively in the Statutes at Large enacted by Congress, the published holdings of the Supreme Court of the United States, the published regulatory and operational materials of the Federal Reserve System, and the documentary record produced under court-ordered discovery in the matter of Nelson L. Bruce v. Pentagon Federal Credit Union, et al., in the United States District Court for the District of South Carolina, Case No. 2:22-cv-02211-BHH-MGB. No reliance is placed on the United States Code as independent authority. The United States Code is editorial reorganization. Where the Statutes at Large and the United States Code conflict, the Statutes at Large control.</w:t>
      </w:r>
    </w:p>
    <w:p>
      <w:pPr>
        <w:spacing w:after="240" w:before="0" w:line="480"/>
        <w:jc w:val="both"/>
      </w:pPr>
      <w:r>
        <w:rPr>
          <w:rFonts w:ascii="Times New Roman" w:cs="Times New Roman" w:eastAsia="Times New Roman" w:hAnsi="Times New Roman"/>
          <w:sz w:val="24"/>
          <w:szCs w:val="24"/>
        </w:rPr>
        <w:t xml:space="preserve">This Memorandum does not present hypotheticals, theories, presumptions, or the views of academic or industry commentators. It states facts and conclusions of law and explains why each is a fact and conclusion of law.</w:t>
      </w:r>
    </w:p>
    <w:p>
      <w:r>
        <w:br w:type="page"/>
      </w:r>
    </w:p>
    <w:p>
      <w:pPr>
        <w:spacing w:after="240" w:before="360" w:line="480"/>
        <w:jc w:val="left"/>
      </w:pPr>
      <w:r>
        <w:rPr>
          <w:rFonts w:ascii="Times New Roman" w:cs="Times New Roman" w:eastAsia="Times New Roman" w:hAnsi="Times New Roman"/>
          <w:b/>
          <w:bCs/>
          <w:sz w:val="28"/>
          <w:szCs w:val="28"/>
        </w:rPr>
        <w:t xml:space="preserve">II. CONTROLLING AUTHORITIES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B0000" w:sz="8"/>
              <w:left w:val="single" w:color="8B0000" w:sz="8"/>
              <w:bottom w:val="single" w:color="8B0000" w:sz="8"/>
              <w:right w:val="single" w:color="8B0000" w:sz="8"/>
            </w:tcBorders>
            <w:shd w:fill="8B0000" w:color="auto" w:val="clear"/>
            <w:tcMar>
              <w:top w:type="dxa" w:w="160"/>
              <w:left w:type="dxa" w:w="200"/>
              <w:bottom w:type="dxa" w:w="160"/>
              <w:right w:type="dxa" w:w="200"/>
            </w:tcMar>
          </w:tcPr>
          <w:p>
            <w:pPr>
              <w:spacing w:after="120" w:before="0" w:line="480"/>
              <w:jc w:val="left"/>
            </w:pPr>
            <w:r>
              <w:rPr>
                <w:rFonts w:ascii="Times New Roman" w:cs="Times New Roman" w:eastAsia="Times New Roman" w:hAnsi="Times New Roman"/>
                <w:b/>
                <w:bCs/>
                <w:color w:val="FFFFFF"/>
                <w:sz w:val="24"/>
                <w:szCs w:val="24"/>
              </w:rPr>
              <w:t xml:space="preserve">CONTROLLING AUTHORITY</w:t>
            </w:r>
          </w:p>
          <w:p>
            <w:pPr>
              <w:spacing w:after="0" w:before="0" w:line="480"/>
              <w:jc w:val="both"/>
            </w:pPr>
            <w:r>
              <w:rPr>
                <w:rFonts w:ascii="Times New Roman" w:cs="Times New Roman" w:eastAsia="Times New Roman" w:hAnsi="Times New Roman"/>
                <w:color w:val="FFFFFF"/>
                <w:sz w:val="24"/>
                <w:szCs w:val="24"/>
              </w:rPr>
              <w:t xml:space="preserve">Federal Reserve Act, 38 Stat. 251, Section 16: every Federal Reserve Bank, and every member bank, shall receive on deposit at par the promissory notes presented within the Federal Reserve clearing system. The borrower’s promissory note is therefore an asset receivable at par.</w:t>
            </w:r>
          </w:p>
        </w:tc>
      </w:tr>
    </w:tbl>
    <w:p>
      <w:pPr>
        <w:spacing w:after="240" w:before="0" w:line="480"/>
      </w:pPr>
      <w:r>
        <w:rPr>
          <w:rFonts w:ascii="Times New Roman" w:cs="Times New Roman" w:eastAsia="Times New Roman" w:hAnsi="Times New Roman"/>
          <w:sz w:val="24"/>
          <w:szCs w:val="2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B0000" w:sz="8"/>
              <w:left w:val="single" w:color="8B0000" w:sz="8"/>
              <w:bottom w:val="single" w:color="8B0000" w:sz="8"/>
              <w:right w:val="single" w:color="8B0000" w:sz="8"/>
            </w:tcBorders>
            <w:shd w:fill="8B0000" w:color="auto" w:val="clear"/>
            <w:tcMar>
              <w:top w:type="dxa" w:w="160"/>
              <w:left w:type="dxa" w:w="200"/>
              <w:bottom w:type="dxa" w:w="160"/>
              <w:right w:type="dxa" w:w="200"/>
            </w:tcMar>
          </w:tcPr>
          <w:p>
            <w:pPr>
              <w:spacing w:after="120" w:before="0" w:line="480"/>
              <w:jc w:val="left"/>
            </w:pPr>
            <w:r>
              <w:rPr>
                <w:rFonts w:ascii="Times New Roman" w:cs="Times New Roman" w:eastAsia="Times New Roman" w:hAnsi="Times New Roman"/>
                <w:b/>
                <w:bCs/>
                <w:color w:val="FFFFFF"/>
                <w:sz w:val="24"/>
                <w:szCs w:val="24"/>
              </w:rPr>
              <w:t xml:space="preserve">CONTROLLING AUTHORITY</w:t>
            </w:r>
          </w:p>
          <w:p>
            <w:pPr>
              <w:spacing w:after="0" w:before="0" w:line="480"/>
              <w:jc w:val="both"/>
            </w:pPr>
            <w:r>
              <w:rPr>
                <w:rFonts w:ascii="Times New Roman" w:cs="Times New Roman" w:eastAsia="Times New Roman" w:hAnsi="Times New Roman"/>
                <w:color w:val="FFFFFF"/>
                <w:sz w:val="24"/>
                <w:szCs w:val="24"/>
              </w:rPr>
              <w:t xml:space="preserve">Reves v. Ernst &amp; Young, 494 U.S. 56 (1990): a note is presumed to be a security. The presumption is rebutted only by application of the family-resemblance test. A residential mortgage note does not fall within the enumerated exceptions and remains a security.</w:t>
            </w:r>
          </w:p>
        </w:tc>
      </w:tr>
    </w:tbl>
    <w:p>
      <w:pPr>
        <w:spacing w:after="240" w:before="0" w:line="480"/>
      </w:pPr>
      <w:r>
        <w:rPr>
          <w:rFonts w:ascii="Times New Roman" w:cs="Times New Roman" w:eastAsia="Times New Roman" w:hAnsi="Times New Roman"/>
          <w:sz w:val="24"/>
          <w:szCs w:val="2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B0000" w:sz="8"/>
              <w:left w:val="single" w:color="8B0000" w:sz="8"/>
              <w:bottom w:val="single" w:color="8B0000" w:sz="8"/>
              <w:right w:val="single" w:color="8B0000" w:sz="8"/>
            </w:tcBorders>
            <w:shd w:fill="8B0000" w:color="auto" w:val="clear"/>
            <w:tcMar>
              <w:top w:type="dxa" w:w="160"/>
              <w:left w:type="dxa" w:w="200"/>
              <w:bottom w:type="dxa" w:w="160"/>
              <w:right w:type="dxa" w:w="200"/>
            </w:tcMar>
          </w:tcPr>
          <w:p>
            <w:pPr>
              <w:spacing w:after="120" w:before="0" w:line="480"/>
              <w:jc w:val="left"/>
            </w:pPr>
            <w:r>
              <w:rPr>
                <w:rFonts w:ascii="Times New Roman" w:cs="Times New Roman" w:eastAsia="Times New Roman" w:hAnsi="Times New Roman"/>
                <w:b/>
                <w:bCs/>
                <w:color w:val="FFFFFF"/>
                <w:sz w:val="24"/>
                <w:szCs w:val="24"/>
              </w:rPr>
              <w:t xml:space="preserve">CONTROLLING AUTHORITY</w:t>
            </w:r>
          </w:p>
          <w:p>
            <w:pPr>
              <w:spacing w:after="0" w:before="0" w:line="480"/>
              <w:jc w:val="both"/>
            </w:pPr>
            <w:r>
              <w:rPr>
                <w:rFonts w:ascii="Times New Roman" w:cs="Times New Roman" w:eastAsia="Times New Roman" w:hAnsi="Times New Roman"/>
                <w:color w:val="FFFFFF"/>
                <w:sz w:val="24"/>
                <w:szCs w:val="24"/>
              </w:rPr>
              <w:t xml:space="preserve">Loper Bright Enterprises v. Raimondo, 603 U.S. 369 (2024): all agency deference is eliminated. Courts decide questions of law independently. Agency interpretations carry no controlling weight against the enacted text of the Statutes at Large.</w:t>
            </w:r>
          </w:p>
        </w:tc>
      </w:tr>
    </w:tbl>
    <w:p>
      <w:pPr>
        <w:spacing w:after="240" w:before="0" w:line="480"/>
      </w:pPr>
      <w:r>
        <w:rPr>
          <w:rFonts w:ascii="Times New Roman" w:cs="Times New Roman" w:eastAsia="Times New Roman" w:hAnsi="Times New Roman"/>
          <w:sz w:val="24"/>
          <w:szCs w:val="2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B0000" w:sz="8"/>
              <w:left w:val="single" w:color="8B0000" w:sz="8"/>
              <w:bottom w:val="single" w:color="8B0000" w:sz="8"/>
              <w:right w:val="single" w:color="8B0000" w:sz="8"/>
            </w:tcBorders>
            <w:shd w:fill="8B0000" w:color="auto" w:val="clear"/>
            <w:tcMar>
              <w:top w:type="dxa" w:w="160"/>
              <w:left w:type="dxa" w:w="200"/>
              <w:bottom w:type="dxa" w:w="160"/>
              <w:right w:type="dxa" w:w="200"/>
            </w:tcMar>
          </w:tcPr>
          <w:p>
            <w:pPr>
              <w:spacing w:after="120" w:before="0" w:line="480"/>
              <w:jc w:val="left"/>
            </w:pPr>
            <w:r>
              <w:rPr>
                <w:rFonts w:ascii="Times New Roman" w:cs="Times New Roman" w:eastAsia="Times New Roman" w:hAnsi="Times New Roman"/>
                <w:b/>
                <w:bCs/>
                <w:color w:val="FFFFFF"/>
                <w:sz w:val="24"/>
                <w:szCs w:val="24"/>
              </w:rPr>
              <w:t xml:space="preserve">CONTROLLING AUTHORITY</w:t>
            </w:r>
          </w:p>
          <w:p>
            <w:pPr>
              <w:spacing w:after="0" w:before="0" w:line="480"/>
              <w:jc w:val="both"/>
            </w:pPr>
            <w:r>
              <w:rPr>
                <w:rFonts w:ascii="Times New Roman" w:cs="Times New Roman" w:eastAsia="Times New Roman" w:hAnsi="Times New Roman"/>
                <w:color w:val="FFFFFF"/>
                <w:sz w:val="24"/>
                <w:szCs w:val="24"/>
              </w:rPr>
              <w:t xml:space="preserve">Henry Schein, Inc. v. Archer &amp; White Sales, Inc., 586 U.S. 63 (2019): courts and agencies may not engraft exceptions onto enacted text. Statutes are enforced as written.</w:t>
            </w:r>
          </w:p>
        </w:tc>
      </w:tr>
    </w:tbl>
    <w:p>
      <w:pPr>
        <w:spacing w:after="240" w:before="0" w:line="480"/>
      </w:pPr>
      <w:r>
        <w:rPr>
          <w:rFonts w:ascii="Times New Roman" w:cs="Times New Roman" w:eastAsia="Times New Roman" w:hAnsi="Times New Roman"/>
          <w:sz w:val="24"/>
          <w:szCs w:val="2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B0000" w:sz="8"/>
              <w:left w:val="single" w:color="8B0000" w:sz="8"/>
              <w:bottom w:val="single" w:color="8B0000" w:sz="8"/>
              <w:right w:val="single" w:color="8B0000" w:sz="8"/>
            </w:tcBorders>
            <w:shd w:fill="8B0000" w:color="auto" w:val="clear"/>
            <w:tcMar>
              <w:top w:type="dxa" w:w="160"/>
              <w:left w:type="dxa" w:w="200"/>
              <w:bottom w:type="dxa" w:w="160"/>
              <w:right w:type="dxa" w:w="200"/>
            </w:tcMar>
          </w:tcPr>
          <w:p>
            <w:pPr>
              <w:spacing w:after="120" w:before="0" w:line="480"/>
              <w:jc w:val="left"/>
            </w:pPr>
            <w:r>
              <w:rPr>
                <w:rFonts w:ascii="Times New Roman" w:cs="Times New Roman" w:eastAsia="Times New Roman" w:hAnsi="Times New Roman"/>
                <w:b/>
                <w:bCs/>
                <w:color w:val="FFFFFF"/>
                <w:sz w:val="24"/>
                <w:szCs w:val="24"/>
              </w:rPr>
              <w:t xml:space="preserve">CONTROLLING AUTHORITY</w:t>
            </w:r>
          </w:p>
          <w:p>
            <w:pPr>
              <w:spacing w:after="0" w:before="0" w:line="480"/>
              <w:jc w:val="both"/>
            </w:pPr>
            <w:r>
              <w:rPr>
                <w:rFonts w:ascii="Times New Roman" w:cs="Times New Roman" w:eastAsia="Times New Roman" w:hAnsi="Times New Roman"/>
                <w:color w:val="FFFFFF"/>
                <w:sz w:val="24"/>
                <w:szCs w:val="24"/>
              </w:rPr>
              <w:t xml:space="preserve">First National Bank of Montgomery v. Daly, Credit River Decision, December 9, 1968: the common-law jury verdict, unreversed on the common-law record, holding that a financial institution lent neither its own money nor the money of its depositors and instead created the funds by ledger entry against the borrower’s note. The verdict stands under the Seventh Amendment as a common-law fact.</w:t>
            </w:r>
          </w:p>
        </w:tc>
      </w:tr>
    </w:tbl>
    <w:p>
      <w:pPr>
        <w:spacing w:after="240" w:before="0" w:line="480"/>
      </w:pPr>
      <w:r>
        <w:rPr>
          <w:rFonts w:ascii="Times New Roman" w:cs="Times New Roman" w:eastAsia="Times New Roman" w:hAnsi="Times New Roman"/>
          <w:sz w:val="24"/>
          <w:szCs w:val="2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B0000" w:sz="8"/>
              <w:left w:val="single" w:color="8B0000" w:sz="8"/>
              <w:bottom w:val="single" w:color="8B0000" w:sz="8"/>
              <w:right w:val="single" w:color="8B0000" w:sz="8"/>
            </w:tcBorders>
            <w:shd w:fill="8B0000" w:color="auto" w:val="clear"/>
            <w:tcMar>
              <w:top w:type="dxa" w:w="160"/>
              <w:left w:type="dxa" w:w="200"/>
              <w:bottom w:type="dxa" w:w="160"/>
              <w:right w:type="dxa" w:w="200"/>
            </w:tcMar>
          </w:tcPr>
          <w:p>
            <w:pPr>
              <w:spacing w:after="120" w:before="0" w:line="480"/>
              <w:jc w:val="left"/>
            </w:pPr>
            <w:r>
              <w:rPr>
                <w:rFonts w:ascii="Times New Roman" w:cs="Times New Roman" w:eastAsia="Times New Roman" w:hAnsi="Times New Roman"/>
                <w:b/>
                <w:bCs/>
                <w:color w:val="FFFFFF"/>
                <w:sz w:val="24"/>
                <w:szCs w:val="24"/>
              </w:rPr>
              <w:t xml:space="preserve">CONTROLLING AUTHORITY</w:t>
            </w:r>
          </w:p>
          <w:p>
            <w:pPr>
              <w:spacing w:after="0" w:before="0" w:line="480"/>
              <w:jc w:val="both"/>
            </w:pPr>
            <w:r>
              <w:rPr>
                <w:rFonts w:ascii="Times New Roman" w:cs="Times New Roman" w:eastAsia="Times New Roman" w:hAnsi="Times New Roman"/>
                <w:color w:val="FFFFFF"/>
                <w:sz w:val="24"/>
                <w:szCs w:val="24"/>
              </w:rPr>
              <w:t xml:space="preserve">Federal Reserve Operating Circular 3, Regulation J at 12 C.F.R. Part 210, and Regulation CC at 12 C.F.R. Part 229: the rules governing the collection of cash items and return checks within the Federal Reserve System. These authorities define and bind every member institution’s participation in the inclearings process.</w:t>
            </w:r>
          </w:p>
        </w:tc>
      </w:tr>
    </w:tbl>
    <w:p>
      <w:pPr>
        <w:spacing w:after="240" w:before="0" w:line="480"/>
      </w:pPr>
      <w:r>
        <w:rPr>
          <w:rFonts w:ascii="Times New Roman" w:cs="Times New Roman" w:eastAsia="Times New Roman" w:hAnsi="Times New Roman"/>
          <w:sz w:val="24"/>
          <w:szCs w:val="2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B0000" w:sz="8"/>
              <w:left w:val="single" w:color="8B0000" w:sz="8"/>
              <w:bottom w:val="single" w:color="8B0000" w:sz="8"/>
              <w:right w:val="single" w:color="8B0000" w:sz="8"/>
            </w:tcBorders>
            <w:shd w:fill="8B0000" w:color="auto" w:val="clear"/>
            <w:tcMar>
              <w:top w:type="dxa" w:w="160"/>
              <w:left w:type="dxa" w:w="200"/>
              <w:bottom w:type="dxa" w:w="160"/>
              <w:right w:type="dxa" w:w="200"/>
            </w:tcMar>
          </w:tcPr>
          <w:p>
            <w:pPr>
              <w:spacing w:after="120" w:before="0" w:line="480"/>
              <w:jc w:val="left"/>
            </w:pPr>
            <w:r>
              <w:rPr>
                <w:rFonts w:ascii="Times New Roman" w:cs="Times New Roman" w:eastAsia="Times New Roman" w:hAnsi="Times New Roman"/>
                <w:b/>
                <w:bCs/>
                <w:color w:val="FFFFFF"/>
                <w:sz w:val="24"/>
                <w:szCs w:val="24"/>
              </w:rPr>
              <w:t xml:space="preserve">CONTROLLING AUTHORITY</w:t>
            </w:r>
          </w:p>
          <w:p>
            <w:pPr>
              <w:spacing w:after="0" w:before="0" w:line="480"/>
              <w:jc w:val="both"/>
            </w:pPr>
            <w:r>
              <w:rPr>
                <w:rFonts w:ascii="Times New Roman" w:cs="Times New Roman" w:eastAsia="Times New Roman" w:hAnsi="Times New Roman"/>
                <w:color w:val="FFFFFF"/>
                <w:sz w:val="24"/>
                <w:szCs w:val="24"/>
              </w:rPr>
              <w:t xml:space="preserve">Federal Reserve Financial Services, “Check Services Basic Check Workflows,” published training materials of the Federal Reserve System: defining Credit, Presentment (a.k.a. Inclearings), Cash Item, Cash Letter, Image Cash Letter, Forward Collections, Deposit Notification, Maker, Payee, Bank of First Deposit, Sending Bank, Paying Institution, and the operative mechanics by which credit is added to the receiving institution’s master or settlement account upon successful processing of an inclearings file.</w:t>
            </w:r>
          </w:p>
        </w:tc>
      </w:tr>
    </w:tbl>
    <w:p>
      <w:r>
        <w:br w:type="page"/>
      </w:r>
    </w:p>
    <w:p>
      <w:pPr>
        <w:spacing w:after="240" w:before="360" w:line="480"/>
        <w:jc w:val="left"/>
      </w:pPr>
      <w:r>
        <w:rPr>
          <w:rFonts w:ascii="Times New Roman" w:cs="Times New Roman" w:eastAsia="Times New Roman" w:hAnsi="Times New Roman"/>
          <w:b/>
          <w:bCs/>
          <w:sz w:val="28"/>
          <w:szCs w:val="28"/>
        </w:rPr>
        <w:t xml:space="preserve">III. THE TRANSACTION IS A PERSONAL LOAN, NOT A HOME LOAN</w:t>
      </w:r>
    </w:p>
    <w:p>
      <w:pPr>
        <w:spacing w:after="240" w:before="360" w:line="480"/>
        <w:jc w:val="left"/>
      </w:pPr>
      <w:r>
        <w:rPr>
          <w:rFonts w:ascii="Times New Roman" w:cs="Times New Roman" w:eastAsia="Times New Roman" w:hAnsi="Times New Roman"/>
          <w:b/>
          <w:bCs/>
          <w:i/>
          <w:iCs/>
          <w:sz w:val="24"/>
          <w:szCs w:val="24"/>
        </w:rPr>
        <w:t xml:space="preserve">A. Classification by Subject Matter Delivered</w:t>
      </w:r>
    </w:p>
    <w:p>
      <w:pPr>
        <w:spacing w:after="240" w:before="0" w:line="480"/>
        <w:jc w:val="both"/>
      </w:pPr>
      <w:r>
        <w:rPr>
          <w:rFonts w:ascii="Times New Roman" w:cs="Times New Roman" w:eastAsia="Times New Roman" w:hAnsi="Times New Roman"/>
          <w:sz w:val="24"/>
          <w:szCs w:val="24"/>
        </w:rPr>
        <w:t xml:space="preserve">A loan is classified, in law, by the subject matter delivered from one party to the other. The loan and the collateral are categorically distinct. The loan is the principal subject matter. The collateral is the security accessory to the loan. The two cannot be merged for purposes of legal classification.</w:t>
      </w:r>
    </w:p>
    <w:p>
      <w:pPr>
        <w:spacing w:after="240" w:before="0" w:line="480"/>
        <w:jc w:val="both"/>
      </w:pPr>
      <w:r>
        <w:rPr>
          <w:rFonts w:ascii="Times New Roman" w:cs="Times New Roman" w:eastAsia="Times New Roman" w:hAnsi="Times New Roman"/>
          <w:sz w:val="24"/>
          <w:szCs w:val="24"/>
        </w:rPr>
        <w:t xml:space="preserve">In every transaction marketed as a “home loan,” the financial institution does not deliver a home to the borrower. The institution does not own the home. The institution does not possess the home. The institution does not hold title to the home. The institution is not engaged in the business of conveying real property. The institution issues funds, by check, wire, or credit entry, to a settlement agent, escrow company, title company, or directly to a third-party seller. The borrower never receives a home from the institution.</w:t>
      </w:r>
    </w:p>
    <w:p>
      <w:pPr>
        <w:spacing w:after="240" w:before="0" w:line="480"/>
        <w:jc w:val="both"/>
      </w:pPr>
      <w:r>
        <w:rPr>
          <w:rFonts w:ascii="Times New Roman" w:cs="Times New Roman" w:eastAsia="Times New Roman" w:hAnsi="Times New Roman"/>
          <w:sz w:val="24"/>
          <w:szCs w:val="24"/>
        </w:rPr>
        <w:t xml:space="preserve">The party who conveys the home is the seller. The conveyance occurs by deed executed by the seller and delivered to the borrower. The deed is the instrument that transfers the property interest. The deed runs from seller to borrower. The institution is not a grantor on the deed because the institution has no property interest in the home to grant.</w:t>
      </w:r>
    </w:p>
    <w:p>
      <w:pPr>
        <w:spacing w:after="240" w:before="0" w:line="480"/>
        <w:jc w:val="both"/>
      </w:pPr>
      <w:r>
        <w:rPr>
          <w:rFonts w:ascii="Times New Roman" w:cs="Times New Roman" w:eastAsia="Times New Roman" w:hAnsi="Times New Roman"/>
          <w:sz w:val="24"/>
          <w:szCs w:val="24"/>
        </w:rPr>
        <w:t xml:space="preserve">The funds issued by the institution are personal property. Funds are fungible, intangible, and unrelated to any particular real property. The borrower receives the funds. The borrower then uses those funds to purchase the home from the seller. Two transactions occur: first, the institution-to-borrower transfer of funds; second, the borrower-to-seller purchase of real property by the borrower using the funds.</w:t>
      </w:r>
    </w:p>
    <w:p>
      <w:pPr>
        <w:spacing w:after="240" w:before="360" w:line="480"/>
        <w:jc w:val="left"/>
      </w:pPr>
      <w:r>
        <w:rPr>
          <w:rFonts w:ascii="Times New Roman" w:cs="Times New Roman" w:eastAsia="Times New Roman" w:hAnsi="Times New Roman"/>
          <w:b/>
          <w:bCs/>
          <w:i/>
          <w:iCs/>
          <w:sz w:val="24"/>
          <w:szCs w:val="24"/>
        </w:rPr>
        <w:t xml:space="preserve">B. The Pledge of Collateral Does Not Reclassify the Loan</w:t>
      </w:r>
    </w:p>
    <w:p>
      <w:pPr>
        <w:spacing w:after="240" w:before="0" w:line="480"/>
        <w:jc w:val="both"/>
      </w:pPr>
      <w:r>
        <w:rPr>
          <w:rFonts w:ascii="Times New Roman" w:cs="Times New Roman" w:eastAsia="Times New Roman" w:hAnsi="Times New Roman"/>
          <w:sz w:val="24"/>
          <w:szCs w:val="24"/>
        </w:rPr>
        <w:t xml:space="preserve">Collateral does not reclassify the principal subject matter of a loan. A pawn loan secured by a watch is not a watch loan. A margin loan secured by securities is not a securities loan. A loan of funds secured by real property is a personal loan of funds with the real property pledged as security.</w:t>
      </w:r>
    </w:p>
    <w:p>
      <w:pPr>
        <w:spacing w:after="240" w:before="0" w:line="480"/>
        <w:jc w:val="both"/>
      </w:pPr>
      <w:r>
        <w:rPr>
          <w:rFonts w:ascii="Times New Roman" w:cs="Times New Roman" w:eastAsia="Times New Roman" w:hAnsi="Times New Roman"/>
          <w:sz w:val="24"/>
          <w:szCs w:val="24"/>
        </w:rPr>
        <w:t xml:space="preserve">The borrower’s continuing exercise of full property rights confirms the classification. The borrower may remodel, alter, expand, demolish portions of, lease to tenants, license, devise by will, encumber with junior liens including home equity lines of credit, and otherwise exercise dominion over the home without seeking the consent of the institution. These rights are inconsistent with the institution having lent the home itself. They are entirely consistent with the institution having lent funds and taken a contingent security interest in the borrower’s separately acquired property.</w:t>
      </w:r>
    </w:p>
    <w:p>
      <w:pPr>
        <w:spacing w:after="240" w:before="360" w:line="480"/>
        <w:jc w:val="left"/>
      </w:pPr>
      <w:r>
        <w:rPr>
          <w:rFonts w:ascii="Times New Roman" w:cs="Times New Roman" w:eastAsia="Times New Roman" w:hAnsi="Times New Roman"/>
          <w:b/>
          <w:bCs/>
          <w:i/>
          <w:iCs/>
          <w:sz w:val="24"/>
          <w:szCs w:val="24"/>
        </w:rPr>
        <w:t xml:space="preserve">C. The Use Restriction Does Not Convert Personal Property into Real Property</w:t>
      </w:r>
    </w:p>
    <w:p>
      <w:pPr>
        <w:spacing w:after="240" w:before="0" w:line="480"/>
        <w:jc w:val="both"/>
      </w:pPr>
      <w:r>
        <w:rPr>
          <w:rFonts w:ascii="Times New Roman" w:cs="Times New Roman" w:eastAsia="Times New Roman" w:hAnsi="Times New Roman"/>
          <w:sz w:val="24"/>
          <w:szCs w:val="24"/>
        </w:rPr>
        <w:t xml:space="preserve">The institution’s stipulation in the loan agreement that the funds shall be applied to the acquisition of a particular real property is a use restriction, nothing more. A use restriction in the contract does not transform the legal character of the property delivered. The legal character was fixed at delivery: a personal loan of funds. The use restriction governs the borrower’s permitted application of the funds. It does not alter what was delivered or by whom.</w:t>
      </w:r>
    </w:p>
    <w:p>
      <w:pPr>
        <w:spacing w:after="240" w:before="0" w:line="480"/>
        <w:jc w:val="both"/>
      </w:pPr>
      <w:r>
        <w:rPr>
          <w:rFonts w:ascii="Times New Roman" w:cs="Times New Roman" w:eastAsia="Times New Roman" w:hAnsi="Times New Roman"/>
          <w:sz w:val="24"/>
          <w:szCs w:val="24"/>
        </w:rPr>
        <w:t xml:space="preserve">In substance, the institution issues a personal loan of funds. The borrower then independently locates the home, negotiates the price, and consummates the purchase from the seller. How the funds are utilized is stipulated by the agreement. That stipulation does not change the character and nature of the personal loan.</w:t>
      </w:r>
    </w:p>
    <w:p>
      <w:pPr>
        <w:spacing w:after="240" w:before="360" w:line="480"/>
        <w:jc w:val="left"/>
      </w:pPr>
      <w:r>
        <w:rPr>
          <w:rFonts w:ascii="Times New Roman" w:cs="Times New Roman" w:eastAsia="Times New Roman" w:hAnsi="Times New Roman"/>
          <w:b/>
          <w:bCs/>
          <w:i/>
          <w:iCs/>
          <w:sz w:val="24"/>
          <w:szCs w:val="24"/>
        </w:rPr>
        <w:t xml:space="preserve">D. Required Elements for the Transaction to Constitute a Home Loan</w:t>
      </w:r>
    </w:p>
    <w:p>
      <w:pPr>
        <w:spacing w:after="240" w:before="0" w:line="480"/>
        <w:jc w:val="both"/>
      </w:pPr>
      <w:r>
        <w:rPr>
          <w:rFonts w:ascii="Times New Roman" w:cs="Times New Roman" w:eastAsia="Times New Roman" w:hAnsi="Times New Roman"/>
          <w:sz w:val="24"/>
          <w:szCs w:val="24"/>
        </w:rPr>
        <w:t xml:space="preserve">For a transaction to be a home loan in accurate legal classification, the institution would have to: (a) own the home; (b) deliver possession and title of the home to the borrower as the principal subject matter of the loan; (c) retain a reversionary interest such that the home returns to the institution at the conclusion of the loan term; and (d) treat the borrower as a bailee or lessee of the institution’s property during the loan term. No retail mortgage transaction in the United States operates this way. No financial institution delivers a home as the loan.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864" w:sz="8"/>
              <w:left w:val="single" w:color="1F3864" w:sz="8"/>
              <w:bottom w:val="single" w:color="1F3864" w:sz="8"/>
              <w:right w:val="single" w:color="1F3864" w:sz="8"/>
            </w:tcBorders>
            <w:shd w:fill="1F3864" w:color="auto" w:val="clear"/>
            <w:tcMar>
              <w:top w:type="dxa" w:w="160"/>
              <w:left w:type="dxa" w:w="200"/>
              <w:bottom w:type="dxa" w:w="160"/>
              <w:right w:type="dxa" w:w="200"/>
            </w:tcMar>
          </w:tcPr>
          <w:p>
            <w:pPr>
              <w:spacing w:after="120" w:before="0" w:line="480"/>
              <w:jc w:val="left"/>
            </w:pPr>
            <w:r>
              <w:rPr>
                <w:rFonts w:ascii="Times New Roman" w:cs="Times New Roman" w:eastAsia="Times New Roman" w:hAnsi="Times New Roman"/>
                <w:b/>
                <w:bCs/>
                <w:color w:val="FFFFFF"/>
                <w:sz w:val="24"/>
                <w:szCs w:val="24"/>
              </w:rPr>
              <w:t xml:space="preserve">CONCLUSION OF LAW — THE TRANSACTION IS A PERSONAL LOAN</w:t>
            </w:r>
          </w:p>
          <w:p>
            <w:pPr>
              <w:spacing w:after="0" w:before="0" w:line="480"/>
              <w:jc w:val="both"/>
            </w:pPr>
            <w:r>
              <w:rPr>
                <w:rFonts w:ascii="Times New Roman" w:cs="Times New Roman" w:eastAsia="Times New Roman" w:hAnsi="Times New Roman"/>
                <w:color w:val="FFFFFF"/>
                <w:sz w:val="24"/>
                <w:szCs w:val="24"/>
              </w:rPr>
              <w:t xml:space="preserve">The transaction marketed as a “home loan” is, in legal classification, a personal loan of funds with the borrower’s separately acquired real property pledged as collateral. The “home loan” label is commercial nomenclature. It is not a legal classification. The institution’s continued use of the “home loan” label in marketing materials, loan documents, monthly statements, default notices, and foreclosure instruments operates as a continuing misrepresentation of material fact. Each repetition of the label is a separate iteration of the deceitful characterization. Repetition does not convert misrepresentation into truth.</w:t>
            </w:r>
          </w:p>
        </w:tc>
      </w:tr>
    </w:tbl>
    <w:p>
      <w:r>
        <w:br w:type="page"/>
      </w:r>
    </w:p>
    <w:p>
      <w:pPr>
        <w:spacing w:after="240" w:before="360" w:line="480"/>
        <w:jc w:val="left"/>
      </w:pPr>
      <w:r>
        <w:rPr>
          <w:rFonts w:ascii="Times New Roman" w:cs="Times New Roman" w:eastAsia="Times New Roman" w:hAnsi="Times New Roman"/>
          <w:b/>
          <w:bCs/>
          <w:sz w:val="28"/>
          <w:szCs w:val="28"/>
        </w:rPr>
        <w:t xml:space="preserve">IV. THE PROMISSORY NOTE IS A SECURITY RECEIVED AT PAR</w:t>
      </w:r>
    </w:p>
    <w:p>
      <w:pPr>
        <w:spacing w:after="240" w:before="360" w:line="480"/>
        <w:jc w:val="left"/>
      </w:pPr>
      <w:r>
        <w:rPr>
          <w:rFonts w:ascii="Times New Roman" w:cs="Times New Roman" w:eastAsia="Times New Roman" w:hAnsi="Times New Roman"/>
          <w:b/>
          <w:bCs/>
          <w:i/>
          <w:iCs/>
          <w:sz w:val="24"/>
          <w:szCs w:val="24"/>
        </w:rPr>
        <w:t xml:space="preserve">A. Classification of the Note as a Security</w:t>
      </w:r>
    </w:p>
    <w:p>
      <w:pPr>
        <w:spacing w:after="240" w:before="0" w:line="480"/>
        <w:jc w:val="both"/>
      </w:pPr>
      <w:r>
        <w:rPr>
          <w:rFonts w:ascii="Times New Roman" w:cs="Times New Roman" w:eastAsia="Times New Roman" w:hAnsi="Times New Roman"/>
          <w:sz w:val="24"/>
          <w:szCs w:val="24"/>
        </w:rPr>
        <w:t xml:space="preserve">Reves v. Ernst &amp; Young, 494 U.S. 56 (1990), holds that a note is presumed to be a security. The presumption is rebutted only by application of the family-resemblance test, under which a note may be excluded from securities classification if it bears a strong resemblance to one of the enumerated categories of non-securities. A residential mortgage note does not fall within any enumerated exception. It is therefore a security.</w:t>
      </w:r>
    </w:p>
    <w:p>
      <w:pPr>
        <w:spacing w:after="240" w:before="0" w:line="480"/>
        <w:jc w:val="both"/>
      </w:pPr>
      <w:r>
        <w:rPr>
          <w:rFonts w:ascii="Times New Roman" w:cs="Times New Roman" w:eastAsia="Times New Roman" w:hAnsi="Times New Roman"/>
          <w:sz w:val="24"/>
          <w:szCs w:val="24"/>
        </w:rPr>
        <w:t xml:space="preserve">The Federal Reserve Act, 38 Stat. 251, Section 16, provides that the promissory notes presented within the Federal Reserve clearing system are receivable at par by every Federal Reserve Bank and every member bank. The note is therefore an asset, classified as a security, receivable at par by the receiving institution.</w:t>
      </w:r>
    </w:p>
    <w:p>
      <w:pPr>
        <w:spacing w:after="240" w:before="360" w:line="480"/>
        <w:jc w:val="left"/>
      </w:pPr>
      <w:r>
        <w:rPr>
          <w:rFonts w:ascii="Times New Roman" w:cs="Times New Roman" w:eastAsia="Times New Roman" w:hAnsi="Times New Roman"/>
          <w:b/>
          <w:bCs/>
          <w:i/>
          <w:iCs/>
          <w:sz w:val="24"/>
          <w:szCs w:val="24"/>
        </w:rPr>
        <w:t xml:space="preserve">B. The Two-Event Accrual Structure of the Origination Transaction</w:t>
      </w:r>
    </w:p>
    <w:p>
      <w:pPr>
        <w:spacing w:after="240" w:before="0" w:line="480"/>
        <w:jc w:val="both"/>
      </w:pPr>
      <w:r>
        <w:rPr>
          <w:rFonts w:ascii="Times New Roman" w:cs="Times New Roman" w:eastAsia="Times New Roman" w:hAnsi="Times New Roman"/>
          <w:sz w:val="24"/>
          <w:szCs w:val="24"/>
        </w:rPr>
        <w:t xml:space="preserve">The accrual method of accounting governs the recognition of every transaction. Every transaction is composed of two events. Event one establishes the obligation or asset. Event two completes the recognition. The two events stand in equilibrium when the transaction is properly recorded.</w:t>
      </w:r>
    </w:p>
    <w:p>
      <w:pPr>
        <w:spacing w:after="240" w:before="0" w:line="480"/>
        <w:jc w:val="both"/>
      </w:pPr>
      <w:r>
        <w:rPr>
          <w:rFonts w:ascii="Times New Roman" w:cs="Times New Roman" w:eastAsia="Times New Roman" w:hAnsi="Times New Roman"/>
          <w:sz w:val="24"/>
          <w:szCs w:val="24"/>
        </w:rPr>
        <w:t xml:space="preserve">In the origination of the transaction marketed as a home loan: Event one is the borrower’s execution and delivery of the promissory note to the institution. The institution receives the note as an asset under 38 Stat. 251, Section 16, classified as a security under Reves v. Ernst &amp; Young. Event two is the institution’s issuance of a credit, by check, wire, or ledger entry, against the deposit created by that note. The credit funds the closing. The institution’s books are in equilibrium because the asset received from the borrower equals the credit issued in connection with the closing.</w:t>
      </w:r>
    </w:p>
    <w:p>
      <w:pPr>
        <w:spacing w:after="240" w:before="0" w:line="480"/>
        <w:jc w:val="both"/>
      </w:pPr>
      <w:r>
        <w:rPr>
          <w:rFonts w:ascii="Times New Roman" w:cs="Times New Roman" w:eastAsia="Times New Roman" w:hAnsi="Times New Roman"/>
          <w:sz w:val="24"/>
          <w:szCs w:val="24"/>
        </w:rPr>
        <w:t xml:space="preserve">No money moved from the institution’s pre-existing capital to the borrower. The institution exchanged a bookkeeping entry for a federally classified security received from the borrower. The borrower’s instrument financed the closing. The institution monetized the borrower’s signature.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864" w:sz="8"/>
              <w:left w:val="single" w:color="1F3864" w:sz="8"/>
              <w:bottom w:val="single" w:color="1F3864" w:sz="8"/>
              <w:right w:val="single" w:color="1F3864" w:sz="8"/>
            </w:tcBorders>
            <w:shd w:fill="1F3864" w:color="auto" w:val="clear"/>
            <w:tcMar>
              <w:top w:type="dxa" w:w="160"/>
              <w:left w:type="dxa" w:w="200"/>
              <w:bottom w:type="dxa" w:w="160"/>
              <w:right w:type="dxa" w:w="200"/>
            </w:tcMar>
          </w:tcPr>
          <w:p>
            <w:pPr>
              <w:spacing w:after="120" w:before="0" w:line="480"/>
              <w:jc w:val="left"/>
            </w:pPr>
            <w:r>
              <w:rPr>
                <w:rFonts w:ascii="Times New Roman" w:cs="Times New Roman" w:eastAsia="Times New Roman" w:hAnsi="Times New Roman"/>
                <w:b/>
                <w:bCs/>
                <w:color w:val="FFFFFF"/>
                <w:sz w:val="24"/>
                <w:szCs w:val="24"/>
              </w:rPr>
              <w:t xml:space="preserve">CONCLUSION OF LAW — THE NOTE IS A SECURITY</w:t>
            </w:r>
          </w:p>
          <w:p>
            <w:pPr>
              <w:spacing w:after="0" w:before="0" w:line="480"/>
              <w:jc w:val="both"/>
            </w:pPr>
            <w:r>
              <w:rPr>
                <w:rFonts w:ascii="Times New Roman" w:cs="Times New Roman" w:eastAsia="Times New Roman" w:hAnsi="Times New Roman"/>
                <w:color w:val="FFFFFF"/>
                <w:sz w:val="24"/>
                <w:szCs w:val="24"/>
              </w:rPr>
              <w:t xml:space="preserve">The promissory note executed by the borrower at closing is a security under Reves v. Ernst &amp; Young, 494 U.S. 56 (1990), receivable at par by every Federal Reserve Bank and every member bank under 38 Stat. 251, Section 16. The institution did not lend its own pre-existing capital. The institution received the borrower’s security and issued a corresponding credit. The borrower capitalized the transaction.</w:t>
            </w:r>
          </w:p>
        </w:tc>
      </w:tr>
    </w:tbl>
    <w:p>
      <w:r>
        <w:br w:type="page"/>
      </w:r>
    </w:p>
    <w:p>
      <w:pPr>
        <w:spacing w:after="240" w:before="360" w:line="480"/>
        <w:jc w:val="left"/>
      </w:pPr>
      <w:r>
        <w:rPr>
          <w:rFonts w:ascii="Times New Roman" w:cs="Times New Roman" w:eastAsia="Times New Roman" w:hAnsi="Times New Roman"/>
          <w:b/>
          <w:bCs/>
          <w:sz w:val="28"/>
          <w:szCs w:val="28"/>
        </w:rPr>
        <w:t xml:space="preserve">V. THE FEDERAL RESERVE INCLEARINGS PROCESS</w:t>
      </w:r>
    </w:p>
    <w:p>
      <w:pPr>
        <w:spacing w:after="240" w:before="360" w:line="480"/>
        <w:jc w:val="left"/>
      </w:pPr>
      <w:r>
        <w:rPr>
          <w:rFonts w:ascii="Times New Roman" w:cs="Times New Roman" w:eastAsia="Times New Roman" w:hAnsi="Times New Roman"/>
          <w:b/>
          <w:bCs/>
          <w:i/>
          <w:iCs/>
          <w:sz w:val="24"/>
          <w:szCs w:val="24"/>
        </w:rPr>
        <w:t xml:space="preserve">A. Definitions Established by the Federal Reserve</w:t>
      </w:r>
    </w:p>
    <w:p>
      <w:pPr>
        <w:spacing w:after="240" w:before="0" w:line="480"/>
        <w:jc w:val="both"/>
      </w:pPr>
      <w:r>
        <w:rPr>
          <w:rFonts w:ascii="Times New Roman" w:cs="Times New Roman" w:eastAsia="Times New Roman" w:hAnsi="Times New Roman"/>
          <w:sz w:val="24"/>
          <w:szCs w:val="24"/>
        </w:rPr>
        <w:t xml:space="preserve">The Federal Reserve Financial Services publication “Check Services Basic Check Workflows” establishes the operative definitions and mechanics of the inclearings process. These definitions are the publications of the central clearing authority of the United States. They are not industry commentary. They bind every member institution participating in the Federal Reserve clearing system.</w:t>
      </w:r>
    </w:p>
    <w:p>
      <w:pPr>
        <w:spacing w:after="240" w:before="0" w:line="480"/>
        <w:jc w:val="both"/>
      </w:pPr>
      <w:r>
        <w:rPr>
          <w:rFonts w:ascii="Times New Roman" w:cs="Times New Roman" w:eastAsia="Times New Roman" w:hAnsi="Times New Roman"/>
          <w:sz w:val="24"/>
          <w:szCs w:val="24"/>
        </w:rPr>
        <w:t xml:space="preserve">Credit, as defined by the Federal Reserve, is an amount added (plus) to an account.</w:t>
      </w:r>
    </w:p>
    <w:p>
      <w:pPr>
        <w:spacing w:after="240" w:before="0" w:line="480"/>
        <w:jc w:val="both"/>
      </w:pPr>
      <w:r>
        <w:rPr>
          <w:rFonts w:ascii="Times New Roman" w:cs="Times New Roman" w:eastAsia="Times New Roman" w:hAnsi="Times New Roman"/>
          <w:sz w:val="24"/>
          <w:szCs w:val="24"/>
        </w:rPr>
        <w:t xml:space="preserve">Presentment, also styled Inclearings by the Federal Reserve, is the delivery of a cash item with a demand for payment, made to the Federal Reserve Banks or a financial institution.</w:t>
      </w:r>
    </w:p>
    <w:p>
      <w:pPr>
        <w:spacing w:after="240" w:before="0" w:line="480"/>
        <w:jc w:val="both"/>
      </w:pPr>
      <w:r>
        <w:rPr>
          <w:rFonts w:ascii="Times New Roman" w:cs="Times New Roman" w:eastAsia="Times New Roman" w:hAnsi="Times New Roman"/>
          <w:sz w:val="24"/>
          <w:szCs w:val="24"/>
        </w:rPr>
        <w:t xml:space="preserve">Cash Item, as defined by the Federal Reserve, includes garden-variety checks drawn on banks and also includes drafts.</w:t>
      </w:r>
    </w:p>
    <w:p>
      <w:pPr>
        <w:spacing w:after="240" w:before="0" w:line="480"/>
        <w:jc w:val="both"/>
      </w:pPr>
      <w:r>
        <w:rPr>
          <w:rFonts w:ascii="Times New Roman" w:cs="Times New Roman" w:eastAsia="Times New Roman" w:hAnsi="Times New Roman"/>
          <w:sz w:val="24"/>
          <w:szCs w:val="24"/>
        </w:rPr>
        <w:t xml:space="preserve">Forward Collections, as defined by the Federal Reserve, is the process by which cash items are deposited and received for presentment at the Paying Institution.</w:t>
      </w:r>
    </w:p>
    <w:p>
      <w:pPr>
        <w:spacing w:after="240" w:before="0" w:line="480"/>
        <w:jc w:val="both"/>
      </w:pPr>
      <w:r>
        <w:rPr>
          <w:rFonts w:ascii="Times New Roman" w:cs="Times New Roman" w:eastAsia="Times New Roman" w:hAnsi="Times New Roman"/>
          <w:sz w:val="24"/>
          <w:szCs w:val="24"/>
        </w:rPr>
        <w:t xml:space="preserve">Deposit Notification (Accepted), as defined by the Federal Reserve, indicates that the image file was transmitted successfully. Once the file has been processed, the receiving institution’s master or settlement account is credited for the amount of the file.</w:t>
      </w:r>
    </w:p>
    <w:p>
      <w:pPr>
        <w:spacing w:after="240" w:before="0" w:line="480"/>
        <w:jc w:val="both"/>
      </w:pPr>
      <w:r>
        <w:rPr>
          <w:rFonts w:ascii="Times New Roman" w:cs="Times New Roman" w:eastAsia="Times New Roman" w:hAnsi="Times New Roman"/>
          <w:sz w:val="24"/>
          <w:szCs w:val="24"/>
        </w:rPr>
        <w:t xml:space="preserve">Image Cash Letter, abbreviated ICL, is a digital package of cash letter items in the American National Standards Institute X9.37 format, transmitted within the Federal Reserve clearing system through FedLine Solutions.</w:t>
      </w:r>
    </w:p>
    <w:p>
      <w:pPr>
        <w:spacing w:after="240" w:before="360" w:line="480"/>
        <w:jc w:val="left"/>
      </w:pPr>
      <w:r>
        <w:rPr>
          <w:rFonts w:ascii="Times New Roman" w:cs="Times New Roman" w:eastAsia="Times New Roman" w:hAnsi="Times New Roman"/>
          <w:b/>
          <w:bCs/>
          <w:i/>
          <w:iCs/>
          <w:sz w:val="24"/>
          <w:szCs w:val="24"/>
        </w:rPr>
        <w:t xml:space="preserve">B. The Effect of an Inclearings Credit Received in the Borrower’s Name</w:t>
      </w:r>
    </w:p>
    <w:p>
      <w:pPr>
        <w:spacing w:after="240" w:before="0" w:line="480"/>
        <w:jc w:val="both"/>
      </w:pPr>
      <w:r>
        <w:rPr>
          <w:rFonts w:ascii="Times New Roman" w:cs="Times New Roman" w:eastAsia="Times New Roman" w:hAnsi="Times New Roman"/>
          <w:sz w:val="24"/>
          <w:szCs w:val="24"/>
        </w:rPr>
        <w:t xml:space="preserve">When the Federal Reserve, as clearing agent, processes an Image Cash Letter or other cash item drawn in connection with the borrower’s account and presents it to the receiving institution, the receiving institution’s master or settlement account is credited for the amount of the item. The credit is, by the Federal Reserve’s own definition, an amount added to the receiving institution’s account. The credit is received by the institution. The credit is recorded in the institution’s books in connection with the borrower’s account.</w:t>
      </w:r>
    </w:p>
    <w:p>
      <w:pPr>
        <w:spacing w:after="240" w:before="0" w:line="480"/>
        <w:jc w:val="both"/>
      </w:pPr>
      <w:r>
        <w:rPr>
          <w:rFonts w:ascii="Times New Roman" w:cs="Times New Roman" w:eastAsia="Times New Roman" w:hAnsi="Times New Roman"/>
          <w:sz w:val="24"/>
          <w:szCs w:val="24"/>
        </w:rPr>
        <w:t xml:space="preserve">The credit is therefore the borrower’s credit, received by the institution as a result of an instrument processed in the borrower’s name through the federally regulated clearing system established under the Federal Reserve Act.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864" w:sz="8"/>
              <w:left w:val="single" w:color="1F3864" w:sz="8"/>
              <w:bottom w:val="single" w:color="1F3864" w:sz="8"/>
              <w:right w:val="single" w:color="1F3864" w:sz="8"/>
            </w:tcBorders>
            <w:shd w:fill="1F3864" w:color="auto" w:val="clear"/>
            <w:tcMar>
              <w:top w:type="dxa" w:w="160"/>
              <w:left w:type="dxa" w:w="200"/>
              <w:bottom w:type="dxa" w:w="160"/>
              <w:right w:type="dxa" w:w="200"/>
            </w:tcMar>
          </w:tcPr>
          <w:p>
            <w:pPr>
              <w:spacing w:after="120" w:before="0" w:line="480"/>
              <w:jc w:val="left"/>
            </w:pPr>
            <w:r>
              <w:rPr>
                <w:rFonts w:ascii="Times New Roman" w:cs="Times New Roman" w:eastAsia="Times New Roman" w:hAnsi="Times New Roman"/>
                <w:b/>
                <w:bCs/>
                <w:color w:val="FFFFFF"/>
                <w:sz w:val="24"/>
                <w:szCs w:val="24"/>
              </w:rPr>
              <w:t xml:space="preserve">CONCLUSION OF LAW — INCLEARINGS CREDIT IS THE BORROWER’S CREDIT</w:t>
            </w:r>
          </w:p>
          <w:p>
            <w:pPr>
              <w:spacing w:after="0" w:before="0" w:line="480"/>
              <w:jc w:val="both"/>
            </w:pPr>
            <w:r>
              <w:rPr>
                <w:rFonts w:ascii="Times New Roman" w:cs="Times New Roman" w:eastAsia="Times New Roman" w:hAnsi="Times New Roman"/>
                <w:color w:val="FFFFFF"/>
                <w:sz w:val="24"/>
                <w:szCs w:val="24"/>
              </w:rPr>
              <w:t xml:space="preserve">An inclearings credit added to the institution’s master or settlement account in connection with an instrument processed in the borrower’s name through the Federal Reserve clearing system is, in legal classification, the borrower’s credit. The credit is received by the institution as agent for the borrower under the authority delegated by the borrower at closing. The credit operates against the underlying obligation.</w:t>
            </w:r>
          </w:p>
        </w:tc>
      </w:tr>
    </w:tbl>
    <w:p>
      <w:r>
        <w:br w:type="page"/>
      </w:r>
    </w:p>
    <w:p>
      <w:pPr>
        <w:spacing w:after="240" w:before="360" w:line="480"/>
        <w:jc w:val="left"/>
      </w:pPr>
      <w:r>
        <w:rPr>
          <w:rFonts w:ascii="Times New Roman" w:cs="Times New Roman" w:eastAsia="Times New Roman" w:hAnsi="Times New Roman"/>
          <w:b/>
          <w:bCs/>
          <w:sz w:val="28"/>
          <w:szCs w:val="28"/>
        </w:rPr>
        <w:t xml:space="preserve">VI. THE DOCUMENTARY RECORD IN THE BRUCE MATTER</w:t>
      </w:r>
    </w:p>
    <w:p>
      <w:pPr>
        <w:spacing w:after="240" w:before="360" w:line="480"/>
        <w:jc w:val="left"/>
      </w:pPr>
      <w:r>
        <w:rPr>
          <w:rFonts w:ascii="Times New Roman" w:cs="Times New Roman" w:eastAsia="Times New Roman" w:hAnsi="Times New Roman"/>
          <w:b/>
          <w:bCs/>
          <w:i/>
          <w:iCs/>
          <w:sz w:val="24"/>
          <w:szCs w:val="24"/>
        </w:rPr>
        <w:t xml:space="preserve">A. The Inclearings Endorsement Produced in Discovery</w:t>
      </w:r>
    </w:p>
    <w:p>
      <w:pPr>
        <w:spacing w:after="240" w:before="0" w:line="480"/>
        <w:jc w:val="both"/>
      </w:pPr>
      <w:r>
        <w:rPr>
          <w:rFonts w:ascii="Times New Roman" w:cs="Times New Roman" w:eastAsia="Times New Roman" w:hAnsi="Times New Roman"/>
          <w:sz w:val="24"/>
          <w:szCs w:val="24"/>
        </w:rPr>
        <w:t xml:space="preserve">In Nelson L. Bruce v. Pentagon Federal Credit Union, et al., United States District Court for the District of South Carolina, Charleston Division, Case No. 2:22-cv-02211-BHH-MGB, the Defendant Pentagon Federal Credit Union produced under court-ordered discovery a document titled “In-Clearings Electronic Endorsement.” The document, on its face, evidences the following Header Information:</w:t>
      </w:r>
    </w:p>
    <w:p>
      <w:pPr>
        <w:spacing w:after="240" w:before="0" w:line="480"/>
        <w:jc w:val="both"/>
      </w:pPr>
      <w:r>
        <w:rPr>
          <w:rFonts w:ascii="Times New Roman" w:cs="Times New Roman" w:eastAsia="Times New Roman" w:hAnsi="Times New Roman"/>
          <w:sz w:val="24"/>
          <w:szCs w:val="24"/>
        </w:rPr>
        <w:t xml:space="preserve">Credit Amount: $353,252.34. Type: Inclearings Deposit. Device: INCL.</w:t>
      </w:r>
    </w:p>
    <w:p>
      <w:pPr>
        <w:spacing w:after="240" w:before="0" w:line="480"/>
        <w:jc w:val="both"/>
      </w:pPr>
      <w:r>
        <w:rPr>
          <w:rFonts w:ascii="Times New Roman" w:cs="Times New Roman" w:eastAsia="Times New Roman" w:hAnsi="Times New Roman"/>
          <w:sz w:val="24"/>
          <w:szCs w:val="24"/>
        </w:rPr>
        <w:t xml:space="preserve">Each of these designations corresponds directly to the Federal Reserve’s own published definitions in “Check Services Basic Check Workflows.” “Credit” is an amount added to an account. “Inclearings Deposit” is a deposit received in the inclearings (presentment) workflow. “INCL” is the device designation for inclearings processing within the Federal Reserve clearing system.</w:t>
      </w:r>
    </w:p>
    <w:p>
      <w:pPr>
        <w:spacing w:after="240" w:before="0" w:line="480"/>
        <w:jc w:val="both"/>
      </w:pPr>
      <w:r>
        <w:rPr>
          <w:rFonts w:ascii="Times New Roman" w:cs="Times New Roman" w:eastAsia="Times New Roman" w:hAnsi="Times New Roman"/>
          <w:sz w:val="24"/>
          <w:szCs w:val="24"/>
        </w:rPr>
        <w:t xml:space="preserve">The document, on its face, evidences that Pentagon Federal Credit Union received a credit of three hundred fifty-three thousand two hundred fifty-two dollars and thirty-four cents through the inclearings workflow of the Federal Reserve clearing system in connection with an instrument processed in the name of Nelson L. Bruce.</w:t>
      </w:r>
    </w:p>
    <w:p>
      <w:pPr>
        <w:spacing w:after="240" w:before="360" w:line="480"/>
        <w:jc w:val="left"/>
      </w:pPr>
      <w:r>
        <w:rPr>
          <w:rFonts w:ascii="Times New Roman" w:cs="Times New Roman" w:eastAsia="Times New Roman" w:hAnsi="Times New Roman"/>
          <w:b/>
          <w:bCs/>
          <w:i/>
          <w:iCs/>
          <w:sz w:val="24"/>
          <w:szCs w:val="24"/>
        </w:rPr>
        <w:t xml:space="preserve">B. The Petition to Seal the Inclearings Record</w:t>
      </w:r>
    </w:p>
    <w:p>
      <w:pPr>
        <w:spacing w:after="240" w:before="0" w:line="480"/>
        <w:jc w:val="both"/>
      </w:pPr>
      <w:r>
        <w:rPr>
          <w:rFonts w:ascii="Times New Roman" w:cs="Times New Roman" w:eastAsia="Times New Roman" w:hAnsi="Times New Roman"/>
          <w:sz w:val="24"/>
          <w:szCs w:val="24"/>
        </w:rPr>
        <w:t xml:space="preserve">On September 17, 2024, and filed on September 23, 2024, the Plaintiff Nelson L. Bruce, in compliance with the protective order in the case and at the urging of Defendant Pentagon Federal Credit Union, filed a Petition to File Under Seal “Exhibit K” in the United States District Court for the District of South Carolina, designated Entry Number 286 on the docket of Case No. 2:22-cv-02211-BHH-MGB.</w:t>
      </w:r>
    </w:p>
    <w:p>
      <w:pPr>
        <w:spacing w:after="240" w:before="0" w:line="480"/>
        <w:jc w:val="both"/>
      </w:pPr>
      <w:r>
        <w:rPr>
          <w:rFonts w:ascii="Times New Roman" w:cs="Times New Roman" w:eastAsia="Times New Roman" w:hAnsi="Times New Roman"/>
          <w:sz w:val="24"/>
          <w:szCs w:val="24"/>
        </w:rPr>
        <w:t xml:space="preserve">The Petition recited the institution’s representations as the basis for sealing. The institution represented to the court, and through Plaintiff’s Petition the court was asked to find, that Exhibit K “contains confidential and proprietary internal documents provided by Defendant Pentagon Federal Credit Union during discovery,” that “Public disclosure of this information could cause harm to Defendants by revealing sensitive business practices and internal procedures that are not typically available to the public,” and that the exhibit “contains internal practices and transactions of the Defendant PenFed that are not publicly available and are considered confidential and proprietary.”</w:t>
      </w:r>
    </w:p>
    <w:p>
      <w:pPr>
        <w:spacing w:after="240" w:before="0" w:line="480"/>
        <w:jc w:val="both"/>
      </w:pPr>
      <w:r>
        <w:rPr>
          <w:rFonts w:ascii="Times New Roman" w:cs="Times New Roman" w:eastAsia="Times New Roman" w:hAnsi="Times New Roman"/>
          <w:sz w:val="24"/>
          <w:szCs w:val="24"/>
        </w:rPr>
        <w:t xml:space="preserve">Exhibit K, as established in the documentary record, is the In-Clearings Electronic Endorsement evidencing the credit received by Pentagon Federal Credit Union in the name of Nelson L. Bruce through the Federal Reserve clearing system.</w:t>
      </w:r>
    </w:p>
    <w:p>
      <w:pPr>
        <w:spacing w:after="240" w:before="360" w:line="480"/>
        <w:jc w:val="left"/>
      </w:pPr>
      <w:r>
        <w:rPr>
          <w:rFonts w:ascii="Times New Roman" w:cs="Times New Roman" w:eastAsia="Times New Roman" w:hAnsi="Times New Roman"/>
          <w:b/>
          <w:bCs/>
          <w:i/>
          <w:iCs/>
          <w:sz w:val="24"/>
          <w:szCs w:val="24"/>
        </w:rPr>
        <w:t xml:space="preserve">C. The Internal Contradiction in the Institution’s Position</w:t>
      </w:r>
    </w:p>
    <w:p>
      <w:pPr>
        <w:spacing w:after="240" w:before="0" w:line="480"/>
        <w:jc w:val="both"/>
      </w:pPr>
      <w:r>
        <w:rPr>
          <w:rFonts w:ascii="Times New Roman" w:cs="Times New Roman" w:eastAsia="Times New Roman" w:hAnsi="Times New Roman"/>
          <w:sz w:val="24"/>
          <w:szCs w:val="24"/>
        </w:rPr>
        <w:t xml:space="preserve">The institution’s representation that the inclearings record is “confidential and proprietary,” “internal,” and “not typically available to the public,” is contradicted, on its face, by the published materials of the Federal Reserve System. The Federal Reserve has placed into the public domain, through FRBservices.org and through its training publications, the entire architecture of the inclearings workflow: the definitions, the Image Cash Letter format under American National Standards Institute X9.37, the Forward Collections process, the presentment mechanics, the credit and debit operations, the Deposit Notification protocols, the Source of Receipt designations, and the binding regulatory framework of Operating Circular 3, Regulation J at 12 C.F.R. Part 210, and Regulation CC at 12 C.F.R. Part 229.</w:t>
      </w:r>
    </w:p>
    <w:p>
      <w:pPr>
        <w:spacing w:after="240" w:before="0" w:line="480"/>
        <w:jc w:val="both"/>
      </w:pPr>
      <w:r>
        <w:rPr>
          <w:rFonts w:ascii="Times New Roman" w:cs="Times New Roman" w:eastAsia="Times New Roman" w:hAnsi="Times New Roman"/>
          <w:sz w:val="24"/>
          <w:szCs w:val="24"/>
        </w:rPr>
        <w:t xml:space="preserve">A process governed by federal regulation, published training materials of the central clearing authority, and standardized operating circulars binding on every member institution is, by definition, not proprietary. Proprietary means originated by, owned by, and exclusive to the party claiming proprietorship. The inclearings workflow is none of these. It is a federally regulated, publicly governed clearing function in which the institution participates as a member, not as an originator.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864" w:sz="8"/>
              <w:left w:val="single" w:color="1F3864" w:sz="8"/>
              <w:bottom w:val="single" w:color="1F3864" w:sz="8"/>
              <w:right w:val="single" w:color="1F3864" w:sz="8"/>
            </w:tcBorders>
            <w:shd w:fill="1F3864" w:color="auto" w:val="clear"/>
            <w:tcMar>
              <w:top w:type="dxa" w:w="160"/>
              <w:left w:type="dxa" w:w="200"/>
              <w:bottom w:type="dxa" w:w="160"/>
              <w:right w:type="dxa" w:w="200"/>
            </w:tcMar>
          </w:tcPr>
          <w:p>
            <w:pPr>
              <w:spacing w:after="120" w:before="0" w:line="480"/>
              <w:jc w:val="left"/>
            </w:pPr>
            <w:r>
              <w:rPr>
                <w:rFonts w:ascii="Times New Roman" w:cs="Times New Roman" w:eastAsia="Times New Roman" w:hAnsi="Times New Roman"/>
                <w:b/>
                <w:bCs/>
                <w:color w:val="FFFFFF"/>
                <w:sz w:val="24"/>
                <w:szCs w:val="24"/>
              </w:rPr>
              <w:t xml:space="preserve">CONCLUSION OF LAW — THE INCLEARINGS PROCESS IS NOT PROPRIETARY</w:t>
            </w:r>
          </w:p>
          <w:p>
            <w:pPr>
              <w:spacing w:after="0" w:before="0" w:line="480"/>
              <w:jc w:val="both"/>
            </w:pPr>
            <w:r>
              <w:rPr>
                <w:rFonts w:ascii="Times New Roman" w:cs="Times New Roman" w:eastAsia="Times New Roman" w:hAnsi="Times New Roman"/>
                <w:color w:val="FFFFFF"/>
                <w:sz w:val="24"/>
                <w:szCs w:val="24"/>
              </w:rPr>
              <w:t xml:space="preserve">The inclearings process is regulated by the Federal Reserve System under the Federal Reserve Act, 38 Stat. 251, Operating Circular 3, Regulation J, and Regulation CC. The mechanics, definitions, and operational protocols are published by the Federal Reserve in materials available to the public. The institution’s claim of proprietorship over a federally regulated, publicly published process is legally void. The institution may not assert proprietorship over a process the central clearing authority has placed in the public domain.</w:t>
            </w:r>
          </w:p>
        </w:tc>
      </w:tr>
    </w:tbl>
    <w:p>
      <w:pPr>
        <w:spacing w:after="240" w:before="0" w:line="480"/>
      </w:pPr>
      <w:r>
        <w:rPr>
          <w:rFonts w:ascii="Times New Roman" w:cs="Times New Roman" w:eastAsia="Times New Roman" w:hAnsi="Times New Roman"/>
          <w:sz w:val="24"/>
          <w:szCs w:val="2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860B" w:sz="8"/>
              <w:left w:val="single" w:color="B8860B" w:sz="8"/>
              <w:bottom w:val="single" w:color="B8860B" w:sz="8"/>
              <w:right w:val="single" w:color="B8860B" w:sz="8"/>
            </w:tcBorders>
            <w:shd w:fill="B8860B" w:color="auto" w:val="clear"/>
            <w:tcMar>
              <w:top w:type="dxa" w:w="160"/>
              <w:left w:type="dxa" w:w="200"/>
              <w:bottom w:type="dxa" w:w="160"/>
              <w:right w:type="dxa" w:w="200"/>
            </w:tcMar>
          </w:tcPr>
          <w:p>
            <w:pPr>
              <w:spacing w:after="120" w:before="0" w:line="480"/>
              <w:jc w:val="left"/>
            </w:pPr>
            <w:r>
              <w:rPr>
                <w:rFonts w:ascii="Times New Roman" w:cs="Times New Roman" w:eastAsia="Times New Roman" w:hAnsi="Times New Roman"/>
                <w:b/>
                <w:bCs/>
                <w:color w:val="FFFFFF"/>
                <w:sz w:val="24"/>
                <w:szCs w:val="24"/>
              </w:rPr>
              <w:t xml:space="preserve">COUNTER-REBUTTAL BARRIER</w:t>
            </w:r>
          </w:p>
          <w:p>
            <w:pPr>
              <w:spacing w:after="0" w:before="0" w:line="480"/>
              <w:jc w:val="both"/>
            </w:pPr>
            <w:r>
              <w:rPr>
                <w:rFonts w:ascii="Times New Roman" w:cs="Times New Roman" w:eastAsia="Times New Roman" w:hAnsi="Times New Roman"/>
                <w:color w:val="FFFFFF"/>
                <w:sz w:val="24"/>
                <w:szCs w:val="24"/>
              </w:rPr>
              <w:t xml:space="preserve">Any institutional response asserting that the institution’s internal implementation, software, formatting, or workflow constitutes proprietary information distinct from the Federal Reserve’s published process fails on the face of the inclearings document itself. The document at issue records the Credit Amount, the Type as Inclearings Deposit, and the Device as INCL. Each of these data elements is defined by the Federal Reserve’s public publications. The substantive content of the document is the Federal Reserve’s public process. The institution’s proprietary claim does not attach to the public substance.</w:t>
            </w:r>
          </w:p>
        </w:tc>
      </w:tr>
    </w:tbl>
    <w:p>
      <w:r>
        <w:br w:type="page"/>
      </w:r>
    </w:p>
    <w:p>
      <w:pPr>
        <w:spacing w:after="240" w:before="360" w:line="480"/>
        <w:jc w:val="left"/>
      </w:pPr>
      <w:r>
        <w:rPr>
          <w:rFonts w:ascii="Times New Roman" w:cs="Times New Roman" w:eastAsia="Times New Roman" w:hAnsi="Times New Roman"/>
          <w:b/>
          <w:bCs/>
          <w:sz w:val="28"/>
          <w:szCs w:val="28"/>
        </w:rPr>
        <w:t xml:space="preserve">VII. CONCEALMENT AS A COMMON BANKING PRACTICE</w:t>
      </w:r>
    </w:p>
    <w:p>
      <w:pPr>
        <w:spacing w:after="240" w:before="360" w:line="480"/>
        <w:jc w:val="left"/>
      </w:pPr>
      <w:r>
        <w:rPr>
          <w:rFonts w:ascii="Times New Roman" w:cs="Times New Roman" w:eastAsia="Times New Roman" w:hAnsi="Times New Roman"/>
          <w:b/>
          <w:bCs/>
          <w:i/>
          <w:iCs/>
          <w:sz w:val="24"/>
          <w:szCs w:val="24"/>
        </w:rPr>
        <w:t xml:space="preserve">A. The Institution’s Concealment of the Inclearings Credit</w:t>
      </w:r>
    </w:p>
    <w:p>
      <w:pPr>
        <w:spacing w:after="240" w:before="0" w:line="480"/>
        <w:jc w:val="both"/>
      </w:pPr>
      <w:r>
        <w:rPr>
          <w:rFonts w:ascii="Times New Roman" w:cs="Times New Roman" w:eastAsia="Times New Roman" w:hAnsi="Times New Roman"/>
          <w:sz w:val="24"/>
          <w:szCs w:val="24"/>
        </w:rPr>
        <w:t xml:space="preserve">The institution’s representation to the United States District Court that the inclearings record is “confidential and proprietary internal documents,” “internal practices and transactions,” and “not publicly available,” coupled with the institution’s insistence that public disclosure would cause it harm, places on the record a judicial determination that the institution treats the inclearings transaction as concealed from the borrower and from the public.</w:t>
      </w:r>
    </w:p>
    <w:p>
      <w:pPr>
        <w:spacing w:after="240" w:before="0" w:line="480"/>
        <w:jc w:val="both"/>
      </w:pPr>
      <w:r>
        <w:rPr>
          <w:rFonts w:ascii="Times New Roman" w:cs="Times New Roman" w:eastAsia="Times New Roman" w:hAnsi="Times New Roman"/>
          <w:sz w:val="24"/>
          <w:szCs w:val="24"/>
        </w:rPr>
        <w:t xml:space="preserve">The court’s acceptance of these representations and grant of sealing operates to confirm, on the federal record, that the institution’s practice is to receive the inclearings credit in the borrower’s name, retain the credit in the institution’s master or settlement account, withhold the documentary record of the credit from the borrower, and continue to demand payment from the borrower as if no credit had been received.</w:t>
      </w:r>
    </w:p>
    <w:p>
      <w:pPr>
        <w:spacing w:after="240" w:before="360" w:line="480"/>
        <w:jc w:val="left"/>
      </w:pPr>
      <w:r>
        <w:rPr>
          <w:rFonts w:ascii="Times New Roman" w:cs="Times New Roman" w:eastAsia="Times New Roman" w:hAnsi="Times New Roman"/>
          <w:b/>
          <w:bCs/>
          <w:i/>
          <w:iCs/>
          <w:sz w:val="24"/>
          <w:szCs w:val="24"/>
        </w:rPr>
        <w:t xml:space="preserve">B. The Legal Character of Concealment Combined with Continued Demand</w:t>
      </w:r>
    </w:p>
    <w:p>
      <w:pPr>
        <w:spacing w:after="240" w:before="0" w:line="480"/>
        <w:jc w:val="both"/>
      </w:pPr>
      <w:r>
        <w:rPr>
          <w:rFonts w:ascii="Times New Roman" w:cs="Times New Roman" w:eastAsia="Times New Roman" w:hAnsi="Times New Roman"/>
          <w:sz w:val="24"/>
          <w:szCs w:val="24"/>
        </w:rPr>
        <w:t xml:space="preserve">Fraud, at common law and in federal jurisprudence, requires (a) the misrepresentation or concealment of a material fact; (b) scienter, meaning knowledge of the falsity or knowledge of the duty to disclose; (c) intent to induce reliance; (d) reliance by the party to whom the misrepresentation or concealment is directed; and (e) damages. The institution’s practice satisfies each element.</w:t>
      </w:r>
    </w:p>
    <w:p>
      <w:pPr>
        <w:spacing w:after="240" w:before="0" w:line="480"/>
        <w:jc w:val="both"/>
      </w:pPr>
      <w:r>
        <w:rPr>
          <w:rFonts w:ascii="Times New Roman" w:cs="Times New Roman" w:eastAsia="Times New Roman" w:hAnsi="Times New Roman"/>
          <w:sz w:val="24"/>
          <w:szCs w:val="24"/>
        </w:rPr>
        <w:t xml:space="preserve">The material fact concealed is the receipt of an inclearings credit in the borrower’s name through the Federal Reserve clearing system. The scienter is established by the institution’s own characterization of the document as “internal” and “not publicly available,” which establishes the institution’s knowledge of the document’s existence and the institution’s deliberate withholding. The intent to induce reliance is established by the institution’s continued demand for payment from the borrower notwithstanding the credit received. The reliance is established by the borrower’s payments made under the false belief that the obligation remains unsatisfied. The damages are established by the amounts paid by the borrower on a satisfied obligation.</w:t>
      </w:r>
    </w:p>
    <w:p>
      <w:pPr>
        <w:spacing w:after="240" w:before="360" w:line="480"/>
        <w:jc w:val="left"/>
      </w:pPr>
      <w:r>
        <w:rPr>
          <w:rFonts w:ascii="Times New Roman" w:cs="Times New Roman" w:eastAsia="Times New Roman" w:hAnsi="Times New Roman"/>
          <w:b/>
          <w:bCs/>
          <w:i/>
          <w:iCs/>
          <w:sz w:val="24"/>
          <w:szCs w:val="24"/>
        </w:rPr>
        <w:t xml:space="preserve">C. The Industry-Wide Character of the Practice</w:t>
      </w:r>
    </w:p>
    <w:p>
      <w:pPr>
        <w:spacing w:after="240" w:before="0" w:line="480"/>
        <w:jc w:val="both"/>
      </w:pPr>
      <w:r>
        <w:rPr>
          <w:rFonts w:ascii="Times New Roman" w:cs="Times New Roman" w:eastAsia="Times New Roman" w:hAnsi="Times New Roman"/>
          <w:sz w:val="24"/>
          <w:szCs w:val="24"/>
        </w:rPr>
        <w:t xml:space="preserve">The Federal Reserve’s published materials on the inclearings workflow describe a uniform process. The Image Cash Letter format under American National Standards Institute X9.37 is the standard format used by every member institution. Operating Circular 3, Regulation J, and Regulation CC apply to every member institution without exception. The inclearings credit received by Pentagon Federal Credit Union in the Bruce matter is therefore not a singular event peculiar to Pentagon Federal Credit Union. It is the operation of the standardized federal clearing process applied uniformly across the industry.</w:t>
      </w:r>
    </w:p>
    <w:p>
      <w:pPr>
        <w:spacing w:after="240" w:before="0" w:line="480"/>
        <w:jc w:val="both"/>
      </w:pPr>
      <w:r>
        <w:rPr>
          <w:rFonts w:ascii="Times New Roman" w:cs="Times New Roman" w:eastAsia="Times New Roman" w:hAnsi="Times New Roman"/>
          <w:sz w:val="24"/>
          <w:szCs w:val="24"/>
        </w:rPr>
        <w:t xml:space="preserve">Where the institution’s practice is to receive the credit, conceal the documentary record, and continue demand for payment, and where this practice is enabled by the standardized federal clearing process, the practice is a common banking practice across the industry. The court’s description of the conduct as a “business practice” entitled to confidentiality is a judicial endorsement of the concealment that does not legalize the underlying fraud. Loper Bright Enterprises v. Raimondo, 603 U.S. 369 (2024), eliminates deference to such characterizations. Henry Schein, Inc. v. Archer &amp; White Sales, Inc., 586 U.S. 63 (2019), commands enforcement of the controlling text as written. The Federal Reserve Act, the Operating Circulars, and the Regulations control. The judicial seal does not extinguish the credit, alter the satisfaction, or reclassify the public process as proprietary.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864" w:sz="8"/>
              <w:left w:val="single" w:color="1F3864" w:sz="8"/>
              <w:bottom w:val="single" w:color="1F3864" w:sz="8"/>
              <w:right w:val="single" w:color="1F3864" w:sz="8"/>
            </w:tcBorders>
            <w:shd w:fill="1F3864" w:color="auto" w:val="clear"/>
            <w:tcMar>
              <w:top w:type="dxa" w:w="160"/>
              <w:left w:type="dxa" w:w="200"/>
              <w:bottom w:type="dxa" w:w="160"/>
              <w:right w:type="dxa" w:w="200"/>
            </w:tcMar>
          </w:tcPr>
          <w:p>
            <w:pPr>
              <w:spacing w:after="120" w:before="0" w:line="480"/>
              <w:jc w:val="left"/>
            </w:pPr>
            <w:r>
              <w:rPr>
                <w:rFonts w:ascii="Times New Roman" w:cs="Times New Roman" w:eastAsia="Times New Roman" w:hAnsi="Times New Roman"/>
                <w:b/>
                <w:bCs/>
                <w:color w:val="FFFFFF"/>
                <w:sz w:val="24"/>
                <w:szCs w:val="24"/>
              </w:rPr>
              <w:t xml:space="preserve">CONCLUSION OF LAW — CONCEALMENT IS DOCUMENTED ON THE FEDERAL RECORD</w:t>
            </w:r>
          </w:p>
          <w:p>
            <w:pPr>
              <w:spacing w:after="0" w:before="0" w:line="480"/>
              <w:jc w:val="both"/>
            </w:pPr>
            <w:r>
              <w:rPr>
                <w:rFonts w:ascii="Times New Roman" w:cs="Times New Roman" w:eastAsia="Times New Roman" w:hAnsi="Times New Roman"/>
                <w:color w:val="FFFFFF"/>
                <w:sz w:val="24"/>
                <w:szCs w:val="24"/>
              </w:rPr>
              <w:t xml:space="preserve">The institution’s petition to seal, granted by the United States District Court, is a documentary admission on the federal record that the institution withholds from the borrower and from the public the documentary record of an inclearings credit received in the borrower’s name through a federally regulated, publicly published clearing process. Concealment of a material fact while continuing demand for payment on the obligation to which the concealed fact relates is the structural definition of fraud.</w:t>
            </w:r>
          </w:p>
        </w:tc>
      </w:tr>
    </w:tbl>
    <w:p>
      <w:pPr>
        <w:spacing w:after="240" w:before="0" w:line="480"/>
      </w:pPr>
      <w:r>
        <w:rPr>
          <w:rFonts w:ascii="Times New Roman" w:cs="Times New Roman" w:eastAsia="Times New Roman" w:hAnsi="Times New Roman"/>
          <w:sz w:val="24"/>
          <w:szCs w:val="2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860B" w:sz="8"/>
              <w:left w:val="single" w:color="B8860B" w:sz="8"/>
              <w:bottom w:val="single" w:color="B8860B" w:sz="8"/>
              <w:right w:val="single" w:color="B8860B" w:sz="8"/>
            </w:tcBorders>
            <w:shd w:fill="B8860B" w:color="auto" w:val="clear"/>
            <w:tcMar>
              <w:top w:type="dxa" w:w="160"/>
              <w:left w:type="dxa" w:w="200"/>
              <w:bottom w:type="dxa" w:w="160"/>
              <w:right w:type="dxa" w:w="200"/>
            </w:tcMar>
          </w:tcPr>
          <w:p>
            <w:pPr>
              <w:spacing w:after="120" w:before="0" w:line="480"/>
              <w:jc w:val="left"/>
            </w:pPr>
            <w:r>
              <w:rPr>
                <w:rFonts w:ascii="Times New Roman" w:cs="Times New Roman" w:eastAsia="Times New Roman" w:hAnsi="Times New Roman"/>
                <w:b/>
                <w:bCs/>
                <w:color w:val="FFFFFF"/>
                <w:sz w:val="24"/>
                <w:szCs w:val="24"/>
              </w:rPr>
              <w:t xml:space="preserve">COUNTER-REBUTTAL BARRIER</w:t>
            </w:r>
          </w:p>
          <w:p>
            <w:pPr>
              <w:spacing w:after="0" w:before="0" w:line="480"/>
              <w:jc w:val="both"/>
            </w:pPr>
            <w:r>
              <w:rPr>
                <w:rFonts w:ascii="Times New Roman" w:cs="Times New Roman" w:eastAsia="Times New Roman" w:hAnsi="Times New Roman"/>
                <w:color w:val="FFFFFF"/>
                <w:sz w:val="24"/>
                <w:szCs w:val="24"/>
              </w:rPr>
              <w:t xml:space="preserve">Any institutional response asserting that the sealed document does not relate to the borrower’s obligation, or that the credit recorded in the document is unrelated to the borrower’s account, fails on the face of the inclearings record. The document is produced under court-ordered discovery in the borrower’s case. The credit is recorded in the inclearings workflow, which by Federal Reserve definition is the presentment of cash items at the Paying Institution. Pentagon Federal Credit Union is the Paying Institution as to the borrower’s account. The credit is therefore connected by the institution’s own clearing system to the borrower’s obligation.</w:t>
            </w:r>
          </w:p>
        </w:tc>
      </w:tr>
    </w:tbl>
    <w:p>
      <w:r>
        <w:br w:type="page"/>
      </w:r>
    </w:p>
    <w:p>
      <w:pPr>
        <w:spacing w:after="240" w:before="360" w:line="480"/>
        <w:jc w:val="left"/>
      </w:pPr>
      <w:r>
        <w:rPr>
          <w:rFonts w:ascii="Times New Roman" w:cs="Times New Roman" w:eastAsia="Times New Roman" w:hAnsi="Times New Roman"/>
          <w:b/>
          <w:bCs/>
          <w:sz w:val="28"/>
          <w:szCs w:val="28"/>
        </w:rPr>
        <w:t xml:space="preserve">VIII. THE BORROWER’S RETAINED PROPERTY INTEREST</w:t>
      </w:r>
    </w:p>
    <w:p>
      <w:pPr>
        <w:spacing w:after="240" w:before="360" w:line="480"/>
        <w:jc w:val="left"/>
      </w:pPr>
      <w:r>
        <w:rPr>
          <w:rFonts w:ascii="Times New Roman" w:cs="Times New Roman" w:eastAsia="Times New Roman" w:hAnsi="Times New Roman"/>
          <w:b/>
          <w:bCs/>
          <w:i/>
          <w:iCs/>
          <w:sz w:val="24"/>
          <w:szCs w:val="24"/>
        </w:rPr>
        <w:t xml:space="preserve">A. The Distinction Between Security Interest and Property Interest</w:t>
      </w:r>
    </w:p>
    <w:p>
      <w:pPr>
        <w:spacing w:after="240" w:before="0" w:line="480"/>
        <w:jc w:val="both"/>
      </w:pPr>
      <w:r>
        <w:rPr>
          <w:rFonts w:ascii="Times New Roman" w:cs="Times New Roman" w:eastAsia="Times New Roman" w:hAnsi="Times New Roman"/>
          <w:sz w:val="24"/>
          <w:szCs w:val="24"/>
        </w:rPr>
        <w:t xml:space="preserve">A security interest and a property interest are categorically distinct. A property interest is the bundle of rights in the res itself, including the right to possess, use, exclude, encumber, alienate, devise, lease, mortgage, pledge, license, develop, alter, demolish, and take the fruits of the property. The owner exercises these rights as of right. A security interest is a contingent contractual claim attached to the property to secure an obligation. The security interest holder has no right to possess, use, exclude, alienate, devise, lease, develop, or take the fruits of the property. The security interest holder has only the right to be paid from the proceeds of the property in the event of default and lawful enforcement.</w:t>
      </w:r>
    </w:p>
    <w:p>
      <w:pPr>
        <w:spacing w:after="240" w:before="360" w:line="480"/>
        <w:jc w:val="left"/>
      </w:pPr>
      <w:r>
        <w:rPr>
          <w:rFonts w:ascii="Times New Roman" w:cs="Times New Roman" w:eastAsia="Times New Roman" w:hAnsi="Times New Roman"/>
          <w:b/>
          <w:bCs/>
          <w:i/>
          <w:iCs/>
          <w:sz w:val="24"/>
          <w:szCs w:val="24"/>
        </w:rPr>
        <w:t xml:space="preserve">B. The Borrower Retains the Bundle of Rights</w:t>
      </w:r>
    </w:p>
    <w:p>
      <w:pPr>
        <w:spacing w:after="240" w:before="0" w:line="480"/>
        <w:jc w:val="both"/>
      </w:pPr>
      <w:r>
        <w:rPr>
          <w:rFonts w:ascii="Times New Roman" w:cs="Times New Roman" w:eastAsia="Times New Roman" w:hAnsi="Times New Roman"/>
          <w:sz w:val="24"/>
          <w:szCs w:val="24"/>
        </w:rPr>
        <w:t xml:space="preserve">Upon conveyance from the seller, the borrower receives the recorded deed. The deed is the documentary evidence of the property interest. The borrower retains every stick in the bundle of rights. The institution receives a recorded mortgage or deed of trust. The mortgage or deed of trust is the documentary evidence of the lien. The lien attaches to the borrower’s property interest. The lien does not displace it.</w:t>
      </w:r>
    </w:p>
    <w:p>
      <w:pPr>
        <w:spacing w:after="240" w:before="0" w:line="480"/>
        <w:jc w:val="both"/>
      </w:pPr>
      <w:r>
        <w:rPr>
          <w:rFonts w:ascii="Times New Roman" w:cs="Times New Roman" w:eastAsia="Times New Roman" w:hAnsi="Times New Roman"/>
          <w:sz w:val="24"/>
          <w:szCs w:val="24"/>
        </w:rPr>
        <w:t xml:space="preserve">The borrower’s retained rights, demonstrating the borrower’s continuing property interest, include without limitation: the right to grant additional liens including home equity lines of credit, second mortgages, and judgment-lien encumbrances without the consent of the first lienholder; the right to lease the property to tenants and collect the rents; the right to license the use of the property; the right to convey the property by deed subject to existing liens; the right to devise the property by will; the right to alter, improve, demolish portions of, or develop the property; the right to claim the homestead exemption; the right to receive insurance proceeds; the right to receive eminent-domain compensation; the right to take the fruits of the property including agricultural produce, mineral rights, timber rights, water rights, and air rights; the right to challenge property tax assessments; and the right to exclude all persons, including the institution, from the property.</w:t>
      </w:r>
    </w:p>
    <w:p>
      <w:pPr>
        <w:spacing w:after="240" w:before="0" w:line="480"/>
        <w:jc w:val="both"/>
      </w:pPr>
      <w:r>
        <w:rPr>
          <w:rFonts w:ascii="Times New Roman" w:cs="Times New Roman" w:eastAsia="Times New Roman" w:hAnsi="Times New Roman"/>
          <w:sz w:val="24"/>
          <w:szCs w:val="24"/>
        </w:rPr>
        <w:t xml:space="preserve">The institution exercises none of these rights. The institution cannot enter the property. The institution cannot collect rents. The institution cannot grant leases. The institution cannot devise the property. The institution cannot alter the property. The institution cannot claim the homestead exemption. The institution cannot exclude others from the property. The institution holds an instrument securing a contingent claim against proceeds in the event of lawful enforcement.</w:t>
      </w:r>
    </w:p>
    <w:p>
      <w:pPr>
        <w:spacing w:after="240" w:before="360" w:line="480"/>
        <w:jc w:val="left"/>
      </w:pPr>
      <w:r>
        <w:rPr>
          <w:rFonts w:ascii="Times New Roman" w:cs="Times New Roman" w:eastAsia="Times New Roman" w:hAnsi="Times New Roman"/>
          <w:b/>
          <w:bCs/>
          <w:i/>
          <w:iCs/>
          <w:sz w:val="24"/>
          <w:szCs w:val="24"/>
        </w:rPr>
        <w:t xml:space="preserve">C. The Home Equity Line of Credit as Industry Admission</w:t>
      </w:r>
    </w:p>
    <w:p>
      <w:pPr>
        <w:spacing w:after="240" w:before="0" w:line="480"/>
        <w:jc w:val="both"/>
      </w:pPr>
      <w:r>
        <w:rPr>
          <w:rFonts w:ascii="Times New Roman" w:cs="Times New Roman" w:eastAsia="Times New Roman" w:hAnsi="Times New Roman"/>
          <w:sz w:val="24"/>
          <w:szCs w:val="24"/>
        </w:rPr>
        <w:t xml:space="preserve">The borrower’s ability to execute a home equity line of credit, a second deed of trust, or any other secondary lien instrument, without the consent of the first lienholder, is direct evidence that the borrower retains the property interest and the right to alienate and encumber. The first lienholder’s consent is not required because the first lienholder has no property interest to give consent over. The first lienholder holds a contingent claim subordinate to the borrower’s continuing ownership. Every home equity line of credit application, every underwriting analysis, every closing, and every recordation across the lending industry confirms the operative legal reality: the borrower owns the property; the first lienholder holds a contingent security interest; the borrower’s authority to grant a junior lien is independent of the first lienholder.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864" w:sz="8"/>
              <w:left w:val="single" w:color="1F3864" w:sz="8"/>
              <w:bottom w:val="single" w:color="1F3864" w:sz="8"/>
              <w:right w:val="single" w:color="1F3864" w:sz="8"/>
            </w:tcBorders>
            <w:shd w:fill="1F3864" w:color="auto" w:val="clear"/>
            <w:tcMar>
              <w:top w:type="dxa" w:w="160"/>
              <w:left w:type="dxa" w:w="200"/>
              <w:bottom w:type="dxa" w:w="160"/>
              <w:right w:type="dxa" w:w="200"/>
            </w:tcMar>
          </w:tcPr>
          <w:p>
            <w:pPr>
              <w:spacing w:after="120" w:before="0" w:line="480"/>
              <w:jc w:val="left"/>
            </w:pPr>
            <w:r>
              <w:rPr>
                <w:rFonts w:ascii="Times New Roman" w:cs="Times New Roman" w:eastAsia="Times New Roman" w:hAnsi="Times New Roman"/>
                <w:b/>
                <w:bCs/>
                <w:color w:val="FFFFFF"/>
                <w:sz w:val="24"/>
                <w:szCs w:val="24"/>
              </w:rPr>
              <w:t xml:space="preserve">CONCLUSION OF LAW — THE BORROWER OWNS THE PROPERTY</w:t>
            </w:r>
          </w:p>
          <w:p>
            <w:pPr>
              <w:spacing w:after="0" w:before="0" w:line="480"/>
              <w:jc w:val="both"/>
            </w:pPr>
            <w:r>
              <w:rPr>
                <w:rFonts w:ascii="Times New Roman" w:cs="Times New Roman" w:eastAsia="Times New Roman" w:hAnsi="Times New Roman"/>
                <w:color w:val="FFFFFF"/>
                <w:sz w:val="24"/>
                <w:szCs w:val="24"/>
              </w:rPr>
              <w:t xml:space="preserve">The borrower retains the property interest in full. The institution holds a contingent security interest. Any institutional representation, in marketing materials or in foreclosure instruments, that the institution “owns,” “holds,” or has authority over the home greater than its security interest is a misrepresentation of legal status.</w:t>
            </w:r>
          </w:p>
        </w:tc>
      </w:tr>
    </w:tbl>
    <w:p>
      <w:r>
        <w:br w:type="page"/>
      </w:r>
    </w:p>
    <w:p>
      <w:pPr>
        <w:spacing w:after="240" w:before="360" w:line="480"/>
        <w:jc w:val="left"/>
      </w:pPr>
      <w:r>
        <w:rPr>
          <w:rFonts w:ascii="Times New Roman" w:cs="Times New Roman" w:eastAsia="Times New Roman" w:hAnsi="Times New Roman"/>
          <w:b/>
          <w:bCs/>
          <w:sz w:val="28"/>
          <w:szCs w:val="28"/>
        </w:rPr>
        <w:t xml:space="preserve">IX. SATISFACTION EXTINGUISHES ACCESSORY AUTHORITIES</w:t>
      </w:r>
    </w:p>
    <w:p>
      <w:pPr>
        <w:spacing w:after="240" w:before="360" w:line="480"/>
        <w:jc w:val="left"/>
      </w:pPr>
      <w:r>
        <w:rPr>
          <w:rFonts w:ascii="Times New Roman" w:cs="Times New Roman" w:eastAsia="Times New Roman" w:hAnsi="Times New Roman"/>
          <w:b/>
          <w:bCs/>
          <w:i/>
          <w:iCs/>
          <w:sz w:val="24"/>
          <w:szCs w:val="24"/>
        </w:rPr>
        <w:t xml:space="preserve">A. The Power of Attorney Granted at Closing</w:t>
      </w:r>
    </w:p>
    <w:p>
      <w:pPr>
        <w:spacing w:after="240" w:before="0" w:line="480"/>
        <w:jc w:val="both"/>
      </w:pPr>
      <w:r>
        <w:rPr>
          <w:rFonts w:ascii="Times New Roman" w:cs="Times New Roman" w:eastAsia="Times New Roman" w:hAnsi="Times New Roman"/>
          <w:sz w:val="24"/>
          <w:szCs w:val="24"/>
        </w:rPr>
        <w:t xml:space="preserve">At the closing of the transaction marketed as a home loan, the borrower executes documentary instruments granting the institution authority to indorse, deposit, present, and process instruments in the borrower’s name in connection with the loan. This authority is, in substance and in law, a power of attorney. The instruments by which the authority is granted often style the authority as “irrevocable.”</w:t>
      </w:r>
    </w:p>
    <w:p>
      <w:pPr>
        <w:spacing w:after="240" w:before="360" w:line="480"/>
        <w:jc w:val="left"/>
      </w:pPr>
      <w:r>
        <w:rPr>
          <w:rFonts w:ascii="Times New Roman" w:cs="Times New Roman" w:eastAsia="Times New Roman" w:hAnsi="Times New Roman"/>
          <w:b/>
          <w:bCs/>
          <w:i/>
          <w:iCs/>
          <w:sz w:val="24"/>
          <w:szCs w:val="24"/>
        </w:rPr>
        <w:t xml:space="preserve">B. The Operation of an “Irrevocable” Designation</w:t>
      </w:r>
    </w:p>
    <w:p>
      <w:pPr>
        <w:spacing w:after="240" w:before="0" w:line="480"/>
        <w:jc w:val="both"/>
      </w:pPr>
      <w:r>
        <w:rPr>
          <w:rFonts w:ascii="Times New Roman" w:cs="Times New Roman" w:eastAsia="Times New Roman" w:hAnsi="Times New Roman"/>
          <w:sz w:val="24"/>
          <w:szCs w:val="24"/>
        </w:rPr>
        <w:t xml:space="preserve">A power of attorney is an agency relationship. An agency relationship is governed by the common law of agency. The “irrevocable” designation in the instrument means the borrower may not unilaterally withdraw the authority during the existence of the principal-agent relationship for the purposes for which it was granted. It does not mean the authority survives the extinguishment of the principal subject matter to which it was attached.</w:t>
      </w:r>
    </w:p>
    <w:p>
      <w:pPr>
        <w:spacing w:after="240" w:before="360" w:line="480"/>
        <w:jc w:val="left"/>
      </w:pPr>
      <w:r>
        <w:rPr>
          <w:rFonts w:ascii="Times New Roman" w:cs="Times New Roman" w:eastAsia="Times New Roman" w:hAnsi="Times New Roman"/>
          <w:b/>
          <w:bCs/>
          <w:i/>
          <w:iCs/>
          <w:sz w:val="24"/>
          <w:szCs w:val="24"/>
        </w:rPr>
        <w:t xml:space="preserve">C. Termination by Accomplishment of Purpose</w:t>
      </w:r>
    </w:p>
    <w:p>
      <w:pPr>
        <w:spacing w:after="240" w:before="0" w:line="480"/>
        <w:jc w:val="both"/>
      </w:pPr>
      <w:r>
        <w:rPr>
          <w:rFonts w:ascii="Times New Roman" w:cs="Times New Roman" w:eastAsia="Times New Roman" w:hAnsi="Times New Roman"/>
          <w:sz w:val="24"/>
          <w:szCs w:val="24"/>
        </w:rPr>
        <w:t xml:space="preserve">Agency relationships exist to accomplish defined principal purposes. When the principal purpose is accomplished, the agency terminates by operation of law. This is the doctrine of termination by accomplishment of purpose, uniform across the common law of agency, the law merchant, and the Statutes at Large. Authority granted to accomplish a defined transaction expires when the transaction is complete.</w:t>
      </w:r>
    </w:p>
    <w:p>
      <w:pPr>
        <w:spacing w:after="240" w:before="0" w:line="480"/>
        <w:jc w:val="both"/>
      </w:pPr>
      <w:r>
        <w:rPr>
          <w:rFonts w:ascii="Times New Roman" w:cs="Times New Roman" w:eastAsia="Times New Roman" w:hAnsi="Times New Roman"/>
          <w:sz w:val="24"/>
          <w:szCs w:val="24"/>
        </w:rPr>
        <w:t xml:space="preserve">The principal purpose of the power of attorney granted at the closing of a personal loan secured by real property is to enable the institution to handle the borrower’s commercial paper and to perform the ministerial functions necessary to administer the loan during its existence. When the loan is satisfied, the principal purpose is accomplished. The agency terminates. The “irrevocable” label, which addressed only the borrower’s unilateral right to revoke during the existence of the relationship, has no operative effect after termination by accomplishment, because there is no longer any agency to revoke.</w:t>
      </w:r>
    </w:p>
    <w:p>
      <w:pPr>
        <w:spacing w:after="240" w:before="360" w:line="480"/>
        <w:jc w:val="left"/>
      </w:pPr>
      <w:r>
        <w:rPr>
          <w:rFonts w:ascii="Times New Roman" w:cs="Times New Roman" w:eastAsia="Times New Roman" w:hAnsi="Times New Roman"/>
          <w:b/>
          <w:bCs/>
          <w:i/>
          <w:iCs/>
          <w:sz w:val="24"/>
          <w:szCs w:val="24"/>
        </w:rPr>
        <w:t xml:space="preserve">D. The Collapse of All Accessory Authorities upon Satisfaction</w:t>
      </w:r>
    </w:p>
    <w:p>
      <w:pPr>
        <w:spacing w:after="240" w:before="0" w:line="480"/>
        <w:jc w:val="both"/>
      </w:pPr>
      <w:r>
        <w:rPr>
          <w:rFonts w:ascii="Times New Roman" w:cs="Times New Roman" w:eastAsia="Times New Roman" w:hAnsi="Times New Roman"/>
          <w:sz w:val="24"/>
          <w:szCs w:val="24"/>
        </w:rPr>
        <w:t xml:space="preserve">Satisfaction of the principal obligation extinguishes every accessory authority attached to the obligation. The accessory authorities include: the security interest in the collateral; the power of sale in the deed of trust; the trustee’s authority to act on behalf of the institution; the institution’s authority to indorse and process the borrower’s commercial paper; and the power of attorney granted at closing. None of these accessory authorities survives extinguishment of the principal obligation. They exist to serve the principal obligation. When the principal obligation is gone, they collapse.</w:t>
      </w:r>
    </w:p>
    <w:p>
      <w:pPr>
        <w:spacing w:after="240" w:before="360" w:line="480"/>
        <w:jc w:val="left"/>
      </w:pPr>
      <w:r>
        <w:rPr>
          <w:rFonts w:ascii="Times New Roman" w:cs="Times New Roman" w:eastAsia="Times New Roman" w:hAnsi="Times New Roman"/>
          <w:b/>
          <w:bCs/>
          <w:i/>
          <w:iCs/>
          <w:sz w:val="24"/>
          <w:szCs w:val="24"/>
        </w:rPr>
        <w:t xml:space="preserve">E. Satisfaction by Inclearings Credit</w:t>
      </w:r>
    </w:p>
    <w:p>
      <w:pPr>
        <w:spacing w:after="240" w:before="0" w:line="480"/>
        <w:jc w:val="both"/>
      </w:pPr>
      <w:r>
        <w:rPr>
          <w:rFonts w:ascii="Times New Roman" w:cs="Times New Roman" w:eastAsia="Times New Roman" w:hAnsi="Times New Roman"/>
          <w:sz w:val="24"/>
          <w:szCs w:val="24"/>
        </w:rPr>
        <w:t xml:space="preserve">Where the institution receives an inclearings credit in the borrower’s name in an amount equal to or exceeding the principal obligation, the obligation is satisfied. Satisfaction is established (a) in fact, by accrual accounting equilibrium, in which the asset received from the borrower equals or exceeds the obligation recorded against the borrower; (b) in law, under the Federal Reserve Act, 38 Stat. 251, Section 16, by which the borrower’s instrument is receivable at par and the credit issued in connection with that par receipt operates against the obligation; and (c) at common law, under the doctrine that receipt of value extinguishes the obligation.</w:t>
      </w:r>
    </w:p>
    <w:p>
      <w:pPr>
        <w:spacing w:after="240" w:before="0" w:line="480"/>
        <w:jc w:val="both"/>
      </w:pPr>
      <w:r>
        <w:rPr>
          <w:rFonts w:ascii="Times New Roman" w:cs="Times New Roman" w:eastAsia="Times New Roman" w:hAnsi="Times New Roman"/>
          <w:sz w:val="24"/>
          <w:szCs w:val="24"/>
        </w:rPr>
        <w:t xml:space="preserve">In the matter of Nelson L. Bruce, the inclearings record evidences a credit of $353,252.34 received by Pentagon Federal Credit Union in the borrower’s name through the Federal Reserve clearing system. To the extent that this credit equals or exceeds the principal obligation owed by Nelson L. Bruce to Pentagon Federal Credit Union as of the date of the credit, the obligation is satisfied. Every accessory authority, including the power of attorney executed at closing, terminates by operation of law upon that satisfaction.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864" w:sz="8"/>
              <w:left w:val="single" w:color="1F3864" w:sz="8"/>
              <w:bottom w:val="single" w:color="1F3864" w:sz="8"/>
              <w:right w:val="single" w:color="1F3864" w:sz="8"/>
            </w:tcBorders>
            <w:shd w:fill="1F3864" w:color="auto" w:val="clear"/>
            <w:tcMar>
              <w:top w:type="dxa" w:w="160"/>
              <w:left w:type="dxa" w:w="200"/>
              <w:bottom w:type="dxa" w:w="160"/>
              <w:right w:type="dxa" w:w="200"/>
            </w:tcMar>
          </w:tcPr>
          <w:p>
            <w:pPr>
              <w:spacing w:after="120" w:before="0" w:line="480"/>
              <w:jc w:val="left"/>
            </w:pPr>
            <w:r>
              <w:rPr>
                <w:rFonts w:ascii="Times New Roman" w:cs="Times New Roman" w:eastAsia="Times New Roman" w:hAnsi="Times New Roman"/>
                <w:b/>
                <w:bCs/>
                <w:color w:val="FFFFFF"/>
                <w:sz w:val="24"/>
                <w:szCs w:val="24"/>
              </w:rPr>
              <w:t xml:space="preserve">CONCLUSION OF LAW — SATISFACTION TERMINATES THE POWER OF ATTORNEY</w:t>
            </w:r>
          </w:p>
          <w:p>
            <w:pPr>
              <w:spacing w:after="0" w:before="0" w:line="480"/>
              <w:jc w:val="both"/>
            </w:pPr>
            <w:r>
              <w:rPr>
                <w:rFonts w:ascii="Times New Roman" w:cs="Times New Roman" w:eastAsia="Times New Roman" w:hAnsi="Times New Roman"/>
                <w:color w:val="FFFFFF"/>
                <w:sz w:val="24"/>
                <w:szCs w:val="24"/>
              </w:rPr>
              <w:t xml:space="preserve">Where the obligation has been paid by inclearings credit in the borrower’s name, the obligation is satisfied. Satisfaction terminates every accessory authority, including the so-called irrevocable power of attorney executed at closing. The “irrevocable” designation does not preserve the agency past the accomplishment of its purpose. There is no agency to revoke and no authority to exercise. The institution’s continued exercise of any authority granted at closing after satisfaction is unauthorized action in the borrower’s name and is actionable as conversion, trespass to the borrower’s commercial paper, forgery where indorsements are affixed without subsisting authority, unauthorized practice of agency, and fraud.</w:t>
            </w:r>
          </w:p>
        </w:tc>
      </w:tr>
    </w:tbl>
    <w:p>
      <w:pPr>
        <w:spacing w:after="240" w:before="0" w:line="480"/>
      </w:pPr>
      <w:r>
        <w:rPr>
          <w:rFonts w:ascii="Times New Roman" w:cs="Times New Roman" w:eastAsia="Times New Roman" w:hAnsi="Times New Roman"/>
          <w:sz w:val="24"/>
          <w:szCs w:val="2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860B" w:sz="8"/>
              <w:left w:val="single" w:color="B8860B" w:sz="8"/>
              <w:bottom w:val="single" w:color="B8860B" w:sz="8"/>
              <w:right w:val="single" w:color="B8860B" w:sz="8"/>
            </w:tcBorders>
            <w:shd w:fill="B8860B" w:color="auto" w:val="clear"/>
            <w:tcMar>
              <w:top w:type="dxa" w:w="160"/>
              <w:left w:type="dxa" w:w="200"/>
              <w:bottom w:type="dxa" w:w="160"/>
              <w:right w:type="dxa" w:w="200"/>
            </w:tcMar>
          </w:tcPr>
          <w:p>
            <w:pPr>
              <w:spacing w:after="120" w:before="0" w:line="480"/>
              <w:jc w:val="left"/>
            </w:pPr>
            <w:r>
              <w:rPr>
                <w:rFonts w:ascii="Times New Roman" w:cs="Times New Roman" w:eastAsia="Times New Roman" w:hAnsi="Times New Roman"/>
                <w:b/>
                <w:bCs/>
                <w:color w:val="FFFFFF"/>
                <w:sz w:val="24"/>
                <w:szCs w:val="24"/>
              </w:rPr>
              <w:t xml:space="preserve">COUNTER-REBUTTAL BARRIER</w:t>
            </w:r>
          </w:p>
          <w:p>
            <w:pPr>
              <w:spacing w:after="0" w:before="0" w:line="480"/>
              <w:jc w:val="both"/>
            </w:pPr>
            <w:r>
              <w:rPr>
                <w:rFonts w:ascii="Times New Roman" w:cs="Times New Roman" w:eastAsia="Times New Roman" w:hAnsi="Times New Roman"/>
                <w:color w:val="FFFFFF"/>
                <w:sz w:val="24"/>
                <w:szCs w:val="24"/>
              </w:rPr>
              <w:t xml:space="preserve">Any institutional response asserting that the power of attorney remains in force after satisfaction by virtue of its “irrevocable” designation fails on the common law of agency. Irrevocability is a limitation on unilateral withdrawal during the existence of the agency. It is not a doctrine of survival past accomplishment of purpose. No common-law authority and no enacted text of the Statutes at Large preserves an agency relationship past the accomplishment of the principal purpose for which the agency was created. The institution’s instrument cannot, by private contract, override the common-law doctrine of termination by accomplishment of purpose.</w:t>
            </w:r>
          </w:p>
        </w:tc>
      </w:tr>
    </w:tbl>
    <w:p>
      <w:r>
        <w:br w:type="page"/>
      </w:r>
    </w:p>
    <w:p>
      <w:pPr>
        <w:spacing w:after="240" w:before="360" w:line="480"/>
        <w:jc w:val="left"/>
      </w:pPr>
      <w:r>
        <w:rPr>
          <w:rFonts w:ascii="Times New Roman" w:cs="Times New Roman" w:eastAsia="Times New Roman" w:hAnsi="Times New Roman"/>
          <w:b/>
          <w:bCs/>
          <w:sz w:val="28"/>
          <w:szCs w:val="28"/>
        </w:rPr>
        <w:t xml:space="preserve">X. THE COMPLETE CHAIN OF FACTS AND CONCLUSIONS OF LAW</w:t>
      </w:r>
    </w:p>
    <w:p>
      <w:pPr>
        <w:spacing w:after="240" w:before="0" w:line="480"/>
        <w:jc w:val="both"/>
      </w:pPr>
      <w:r>
        <w:rPr>
          <w:rFonts w:ascii="Times New Roman" w:cs="Times New Roman" w:eastAsia="Times New Roman" w:hAnsi="Times New Roman"/>
          <w:sz w:val="24"/>
          <w:szCs w:val="24"/>
        </w:rPr>
        <w:t xml:space="preserve">The complete chain established by this Memorandum, grounded in the controlling authorities and the documentary record in the matter of Nelson L. Bruce v. Pentagon Federal Credit Union, et al., is as follows.</w:t>
      </w:r>
    </w:p>
    <w:p>
      <w:pPr>
        <w:spacing w:after="240" w:before="0" w:line="480"/>
        <w:jc w:val="both"/>
      </w:pPr>
      <w:r>
        <w:rPr>
          <w:rFonts w:ascii="Times New Roman" w:cs="Times New Roman" w:eastAsia="Times New Roman" w:hAnsi="Times New Roman"/>
          <w:sz w:val="24"/>
          <w:szCs w:val="24"/>
        </w:rPr>
        <w:t xml:space="preserve">First. The institution did not deliver a home. The institution delivered funds. The transaction is a personal loan of funds. The “home loan” label is commercial nomenclature, not legal classification. The institution’s persistent use of the label is a continuing misrepresentation.</w:t>
      </w:r>
    </w:p>
    <w:p>
      <w:pPr>
        <w:spacing w:after="240" w:before="0" w:line="480"/>
        <w:jc w:val="both"/>
      </w:pPr>
      <w:r>
        <w:rPr>
          <w:rFonts w:ascii="Times New Roman" w:cs="Times New Roman" w:eastAsia="Times New Roman" w:hAnsi="Times New Roman"/>
          <w:sz w:val="24"/>
          <w:szCs w:val="24"/>
        </w:rPr>
        <w:t xml:space="preserve">Second. The borrower acquired the home from the seller by deed. The borrower owns the property in full property interest. The institution holds a contingent security interest. The borrower’s exercise of full property rights, including the right to encumber by home equity line of credit without first lienholder consent, confirms the retained property interest.</w:t>
      </w:r>
    </w:p>
    <w:p>
      <w:pPr>
        <w:spacing w:after="240" w:before="0" w:line="480"/>
        <w:jc w:val="both"/>
      </w:pPr>
      <w:r>
        <w:rPr>
          <w:rFonts w:ascii="Times New Roman" w:cs="Times New Roman" w:eastAsia="Times New Roman" w:hAnsi="Times New Roman"/>
          <w:sz w:val="24"/>
          <w:szCs w:val="24"/>
        </w:rPr>
        <w:t xml:space="preserve">Third. The borrower’s promissory note is a security under Reves v. Ernst &amp; Young, 494 U.S. 56 (1990), receivable at par by every Federal Reserve Bank and every member bank under 38 Stat. 251, Section 16. The institution received the note as an asset and issued a corresponding credit. The borrower’s instrument financed the closing.</w:t>
      </w:r>
    </w:p>
    <w:p>
      <w:pPr>
        <w:spacing w:after="240" w:before="0" w:line="480"/>
        <w:jc w:val="both"/>
      </w:pPr>
      <w:r>
        <w:rPr>
          <w:rFonts w:ascii="Times New Roman" w:cs="Times New Roman" w:eastAsia="Times New Roman" w:hAnsi="Times New Roman"/>
          <w:sz w:val="24"/>
          <w:szCs w:val="24"/>
        </w:rPr>
        <w:t xml:space="preserve">Fourth. The Federal Reserve clearing system, governed by Operating Circular 3, Regulation J, and Regulation CC, processes cash items, including instruments drawn in connection with the borrower’s account, and credits the receiving institution’s master or settlement account upon successful processing of the inclearings file.</w:t>
      </w:r>
    </w:p>
    <w:p>
      <w:pPr>
        <w:spacing w:after="240" w:before="0" w:line="480"/>
        <w:jc w:val="both"/>
      </w:pPr>
      <w:r>
        <w:rPr>
          <w:rFonts w:ascii="Times New Roman" w:cs="Times New Roman" w:eastAsia="Times New Roman" w:hAnsi="Times New Roman"/>
          <w:sz w:val="24"/>
          <w:szCs w:val="24"/>
        </w:rPr>
        <w:t xml:space="preserve">Fifth. In the Bruce matter, Pentagon Federal Credit Union received a credit of $353,252.34 through the inclearings workflow in the name of Nelson L. Bruce. The documentary record was produced under court-ordered discovery and constitutes documentary evidence of the credit received.</w:t>
      </w:r>
    </w:p>
    <w:p>
      <w:pPr>
        <w:spacing w:after="240" w:before="0" w:line="480"/>
        <w:jc w:val="both"/>
      </w:pPr>
      <w:r>
        <w:rPr>
          <w:rFonts w:ascii="Times New Roman" w:cs="Times New Roman" w:eastAsia="Times New Roman" w:hAnsi="Times New Roman"/>
          <w:sz w:val="24"/>
          <w:szCs w:val="24"/>
        </w:rPr>
        <w:t xml:space="preserve">Sixth. The institution petitioned the United States District Court to seal the documentary record on the asserted ground that it is “confidential and proprietary internal documents” and “not publicly available.” The petition was granted. The federal record now contains the institution’s admission that it withholds the credit record from the borrower and from the public.</w:t>
      </w:r>
    </w:p>
    <w:p>
      <w:pPr>
        <w:spacing w:after="240" w:before="0" w:line="480"/>
        <w:jc w:val="both"/>
      </w:pPr>
      <w:r>
        <w:rPr>
          <w:rFonts w:ascii="Times New Roman" w:cs="Times New Roman" w:eastAsia="Times New Roman" w:hAnsi="Times New Roman"/>
          <w:sz w:val="24"/>
          <w:szCs w:val="24"/>
        </w:rPr>
        <w:t xml:space="preserve">Seventh. The asserted proprietorship is legally void. The inclearings process is regulated and published by the Federal Reserve System. A federally regulated, publicly published process is not proprietary.</w:t>
      </w:r>
    </w:p>
    <w:p>
      <w:pPr>
        <w:spacing w:after="240" w:before="0" w:line="480"/>
        <w:jc w:val="both"/>
      </w:pPr>
      <w:r>
        <w:rPr>
          <w:rFonts w:ascii="Times New Roman" w:cs="Times New Roman" w:eastAsia="Times New Roman" w:hAnsi="Times New Roman"/>
          <w:sz w:val="24"/>
          <w:szCs w:val="24"/>
        </w:rPr>
        <w:t xml:space="preserve">Eighth. Concealment of the credit by the institution while continuing demand for payment from the borrower is the structural definition of fraud. Where the practice is enabled by the standardized federal clearing process and applied uniformly across the industry, the conduct is a common banking practice.</w:t>
      </w:r>
    </w:p>
    <w:p>
      <w:pPr>
        <w:spacing w:after="240" w:before="0" w:line="480"/>
        <w:jc w:val="both"/>
      </w:pPr>
      <w:r>
        <w:rPr>
          <w:rFonts w:ascii="Times New Roman" w:cs="Times New Roman" w:eastAsia="Times New Roman" w:hAnsi="Times New Roman"/>
          <w:sz w:val="24"/>
          <w:szCs w:val="24"/>
        </w:rPr>
        <w:t xml:space="preserve">Ninth. The credit operates against the obligation. Where the credit equals or exceeds the obligation, the obligation is satisfied under accrual accounting equilibrium, under 38 Stat. 251, Section 16, and at common law.</w:t>
      </w:r>
    </w:p>
    <w:p>
      <w:pPr>
        <w:spacing w:after="240" w:before="0" w:line="480"/>
        <w:jc w:val="both"/>
      </w:pPr>
      <w:r>
        <w:rPr>
          <w:rFonts w:ascii="Times New Roman" w:cs="Times New Roman" w:eastAsia="Times New Roman" w:hAnsi="Times New Roman"/>
          <w:sz w:val="24"/>
          <w:szCs w:val="24"/>
        </w:rPr>
        <w:t xml:space="preserve">Tenth. Satisfaction terminates every accessory authority, including the contingent security interest, the power of sale in the deed of trust, the trustee’s authority, and the power of attorney executed at closing. The “irrevocable” designation does not preserve the agency past the accomplishment of its purpose. Any institutional act conducted in the borrower’s name after satisfaction is unauthorized and actionable.</w:t>
      </w:r>
    </w:p>
    <w:p>
      <w:pPr>
        <w:spacing w:after="240" w:before="0" w:line="480"/>
        <w:jc w:val="both"/>
      </w:pPr>
      <w:r>
        <w:rPr>
          <w:rFonts w:ascii="Times New Roman" w:cs="Times New Roman" w:eastAsia="Times New Roman" w:hAnsi="Times New Roman"/>
          <w:sz w:val="24"/>
          <w:szCs w:val="24"/>
        </w:rPr>
        <w:t xml:space="preserve">Eleventh. Loper Bright Enterprises v. Raimondo, 603 U.S. 369 (2024), eliminates agency deference. Henry Schein, Inc. v. Archer &amp; White Sales, Inc., 586 U.S. 63 (2019), commands enforcement of the enacted text as written. The Federal Reserve Act, the Operating Circulars, the Regulations, and the common law of property and agency control. The institution’s commercial labels and the judicial seal do not.</w:t>
      </w:r>
    </w:p>
    <w:p>
      <w:pPr>
        <w:spacing w:after="240" w:before="0" w:line="480"/>
        <w:jc w:val="both"/>
      </w:pPr>
      <w:r>
        <w:rPr>
          <w:rFonts w:ascii="Times New Roman" w:cs="Times New Roman" w:eastAsia="Times New Roman" w:hAnsi="Times New Roman"/>
          <w:sz w:val="24"/>
          <w:szCs w:val="24"/>
        </w:rPr>
        <w:t xml:space="preserve">Twelfth. The framework is internally consistent. The Statutes at Large, the Supreme Court’s holdings, the Federal Reserve’s published materials, and the documentary record in the Bruce matter establish the chain of facts and conclusions of law without gap, presumption, or reliance on unsworn commentary.</w:t>
      </w:r>
    </w:p>
    <w:p>
      <w:r>
        <w:br w:type="page"/>
      </w:r>
    </w:p>
    <w:p>
      <w:pPr>
        <w:spacing w:after="240" w:before="360" w:line="480"/>
        <w:jc w:val="left"/>
      </w:pPr>
      <w:r>
        <w:rPr>
          <w:rFonts w:ascii="Times New Roman" w:cs="Times New Roman" w:eastAsia="Times New Roman" w:hAnsi="Times New Roman"/>
          <w:b/>
          <w:bCs/>
          <w:sz w:val="28"/>
          <w:szCs w:val="28"/>
        </w:rPr>
        <w:t xml:space="preserve">XI. RESERVATION OF RIGHTS AND CERTIFICATION</w:t>
      </w:r>
    </w:p>
    <w:p>
      <w:pPr>
        <w:spacing w:after="240" w:before="0" w:line="480"/>
        <w:jc w:val="both"/>
      </w:pPr>
      <w:r>
        <w:rPr>
          <w:rFonts w:ascii="Times New Roman" w:cs="Times New Roman" w:eastAsia="Times New Roman" w:hAnsi="Times New Roman"/>
          <w:sz w:val="24"/>
          <w:szCs w:val="24"/>
        </w:rPr>
        <w:t xml:space="preserve">All Natural Secured Rights Explicitly Reserved and Retained, with prejudice.</w:t>
      </w:r>
    </w:p>
    <w:p>
      <w:pPr>
        <w:spacing w:after="240" w:before="0" w:line="480"/>
        <w:jc w:val="both"/>
      </w:pPr>
      <w:r>
        <w:rPr>
          <w:rFonts w:ascii="Times New Roman" w:cs="Times New Roman" w:eastAsia="Times New Roman" w:hAnsi="Times New Roman"/>
          <w:sz w:val="24"/>
          <w:szCs w:val="24"/>
        </w:rPr>
        <w:t xml:space="preserve">This Memorandum of Law is issued by the EEON Foundation, 304 S. Jones Blvd., #Void-Eeon, Las Vegas, Nevada 89107, under the direction of Eeon, in support of the documentary record in the matter of Nelson L. Bruce v. Pentagon Federal Credit Union, et al., United States District Court for the District of South Carolina, Charleston Division, Case No. 2:22-cv-02211-BHH-MGB, and in support of the broader legal framework establishing the character of the transaction marketed as a “home loan” and the extinguishment of the obligation by inclearings credit received in the borrower’s name through the Federal Reserve clearing system.</w:t>
      </w:r>
    </w:p>
    <w:p>
      <w:pPr>
        <w:spacing w:after="240" w:before="0" w:line="480"/>
        <w:jc w:val="both"/>
      </w:pPr>
      <w:r>
        <w:rPr>
          <w:rFonts w:ascii="Times New Roman" w:cs="Times New Roman" w:eastAsia="Times New Roman" w:hAnsi="Times New Roman"/>
          <w:sz w:val="24"/>
          <w:szCs w:val="24"/>
        </w:rPr>
        <w:t xml:space="preserve">The conclusions of law set forth in this Memorandum are grounded exclusively in the Statutes at Large, the published holdings of the Supreme Court of the United States, the published regulatory and operational materials of the Federal Reserve System, and the documentary record produced under court-ordered discovery. No reliance is placed on the United States Code as independent authority, on agency interpretations as binding, or on industry or academic commentary.</w:t>
      </w:r>
    </w:p>
    <w:p>
      <w:pPr>
        <w:spacing w:after="240" w:before="0" w:line="480"/>
        <w:jc w:val="both"/>
      </w:pPr>
      <w:r>
        <w:rPr>
          <w:rFonts w:ascii="Times New Roman" w:cs="Times New Roman" w:eastAsia="Times New Roman" w:hAnsi="Times New Roman"/>
          <w:sz w:val="24"/>
          <w:szCs w:val="24"/>
        </w:rPr>
        <w:t xml:space="preserve">Issued this day under the authority of the EEON Foundation.</w:t>
      </w:r>
    </w:p>
    <w:p>
      <w:pPr>
        <w:spacing w:after="240" w:before="0" w:line="480"/>
      </w:pPr>
      <w:r>
        <w:rPr>
          <w:rFonts w:ascii="Times New Roman" w:cs="Times New Roman" w:eastAsia="Times New Roman" w:hAnsi="Times New Roman"/>
          <w:sz w:val="24"/>
          <w:szCs w:val="24"/>
        </w:rPr>
        <w:t xml:space="preserve"/>
      </w:r>
    </w:p>
    <w:p>
      <w:pPr>
        <w:spacing w:after="240" w:before="0" w:line="480"/>
      </w:pPr>
      <w:r>
        <w:rPr>
          <w:rFonts w:ascii="Times New Roman" w:cs="Times New Roman" w:eastAsia="Times New Roman" w:hAnsi="Times New Roman"/>
          <w:sz w:val="24"/>
          <w:szCs w:val="24"/>
        </w:rPr>
        <w:t xml:space="preserve"/>
      </w:r>
    </w:p>
    <w:p>
      <w:pPr>
        <w:spacing w:after="240" w:before="0" w:line="480"/>
        <w:jc w:val="left"/>
      </w:pPr>
      <w:r>
        <w:rPr>
          <w:rFonts w:ascii="Times New Roman" w:cs="Times New Roman" w:eastAsia="Times New Roman" w:hAnsi="Times New Roman"/>
          <w:sz w:val="24"/>
          <w:szCs w:val="24"/>
        </w:rPr>
        <w:t xml:space="preserve">__________________________________________</w:t>
      </w:r>
    </w:p>
    <w:p>
      <w:pPr>
        <w:spacing w:after="240" w:before="0" w:line="480"/>
        <w:jc w:val="left"/>
      </w:pPr>
      <w:r>
        <w:rPr>
          <w:rFonts w:ascii="Times New Roman" w:cs="Times New Roman" w:eastAsia="Times New Roman" w:hAnsi="Times New Roman"/>
          <w:sz w:val="24"/>
          <w:szCs w:val="24"/>
        </w:rPr>
        <w:t xml:space="preserve">Eeon, Director</w:t>
      </w:r>
    </w:p>
    <w:p>
      <w:pPr>
        <w:spacing w:after="240" w:before="0" w:line="480"/>
        <w:jc w:val="left"/>
      </w:pPr>
      <w:r>
        <w:rPr>
          <w:rFonts w:ascii="Times New Roman" w:cs="Times New Roman" w:eastAsia="Times New Roman" w:hAnsi="Times New Roman"/>
          <w:sz w:val="24"/>
          <w:szCs w:val="24"/>
        </w:rPr>
        <w:t xml:space="preserve">EEON Foundation</w:t>
      </w:r>
    </w:p>
    <w:p>
      <w:pPr>
        <w:spacing w:after="240" w:before="0" w:line="480"/>
        <w:jc w:val="left"/>
      </w:pPr>
      <w:r>
        <w:rPr>
          <w:rFonts w:ascii="Times New Roman" w:cs="Times New Roman" w:eastAsia="Times New Roman" w:hAnsi="Times New Roman"/>
          <w:sz w:val="24"/>
          <w:szCs w:val="24"/>
        </w:rPr>
        <w:t xml:space="preserve">304 S. Jones Blvd., #Void-Eeon</w:t>
      </w:r>
    </w:p>
    <w:p>
      <w:pPr>
        <w:spacing w:after="240" w:before="0" w:line="480"/>
        <w:jc w:val="left"/>
      </w:pPr>
      <w:r>
        <w:rPr>
          <w:rFonts w:ascii="Times New Roman" w:cs="Times New Roman" w:eastAsia="Times New Roman" w:hAnsi="Times New Roman"/>
          <w:sz w:val="24"/>
          <w:szCs w:val="24"/>
        </w:rPr>
        <w:t xml:space="preserve">Las Vegas, Nevada 89107</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Times New Roman" w:cs="Times New Roman" w:eastAsia="Times New Roman" w:hAnsi="Times New Roman"/>
        <w:sz w:val="20"/>
        <w:szCs w:val="20"/>
      </w:rPr>
      <w:t xml:space="preserve">EEON Foundation — Page </w:t>
    </w:r>
    <w:r>
      <w:rPr>
        <w:rFonts w:ascii="Times New Roman" w:cs="Times New Roman" w:eastAsia="Times New Roman" w:hAnsi="Times New Roman"/>
        <w:sz w:val="20"/>
        <w:szCs w:val="20"/>
      </w:rPr>
      <w:fldChar w:fldCharType="begin"/>
      <w:instrText xml:space="preserve">PAGE</w:instrText>
      <w:fldChar w:fldCharType="separate"/>
      <w:fldChar w:fldCharType="end"/>
    </w:r>
    <w:r>
      <w:rPr>
        <w:rFonts w:ascii="Times New Roman" w:cs="Times New Roman" w:eastAsia="Times New Roman" w:hAnsi="Times New Roman"/>
        <w:sz w:val="20"/>
        <w:szCs w:val="20"/>
      </w:rPr>
      <w:t xml:space="preserve"> of </w:t>
    </w:r>
    <w:r>
      <w:rPr>
        <w:rFonts w:ascii="Times New Roman" w:cs="Times New Roman" w:eastAsia="Times New Roman" w:hAnsi="Times New Roman"/>
        <w:sz w:val="20"/>
        <w:szCs w:val="20"/>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Times New Roman" w:cs="Times New Roman" w:eastAsia="Times New Roman" w:hAnsi="Times New Roman"/>
        <w:i/>
        <w:iCs/>
        <w:sz w:val="20"/>
        <w:szCs w:val="20"/>
      </w:rPr>
      <w:t xml:space="preserve">MEMORANDUM OF LAW — Inclearings Credit and Extinguishment of the Obligation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2026-05-08T22:16:06.848Z</dcterms:created>
  <dcterms:modified xsi:type="dcterms:W3CDTF">2026-05-08T22:16:06.868Z</dcterms:modified>
</cp:coreProperties>
</file>

<file path=docProps/custom.xml><?xml version="1.0" encoding="utf-8"?>
<Properties xmlns="http://schemas.openxmlformats.org/officeDocument/2006/custom-properties" xmlns:vt="http://schemas.openxmlformats.org/officeDocument/2006/docPropsVTypes"/>
</file>